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95.png" ContentType="image/png"/>
  <Override PartName="/word/media/rId34.png" ContentType="image/png"/>
  <Override PartName="/word/media/rId100.png" ContentType="image/png"/>
  <Override PartName="/word/media/rId63.png" ContentType="image/png"/>
  <Override PartName="/word/media/rId67.png" ContentType="image/png"/>
  <Override PartName="/word/media/rId175.png" ContentType="image/png"/>
  <Override PartName="/word/media/rId206.png" ContentType="image/png"/>
  <Override PartName="/word/media/rId186.png" ContentType="image/png"/>
  <Override PartName="/word/media/rId190.png" ContentType="image/png"/>
  <Override PartName="/word/media/rId194.png" ContentType="image/png"/>
  <Override PartName="/word/media/rId199.png" ContentType="image/png"/>
  <Override PartName="/word/media/rId292.png" ContentType="image/png"/>
  <Override PartName="/word/media/rId298.png" ContentType="image/png"/>
  <Override PartName="/word/media/rId213.png" ContentType="image/png"/>
  <Override PartName="/word/media/rId216.png" ContentType="image/png"/>
  <Override PartName="/word/media/rId221.png" ContentType="image/png"/>
  <Override PartName="/word/media/rId228.png" ContentType="image/png"/>
  <Override PartName="/word/media/rId238.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in Forest Ecology</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bookmarkEnd w:id="29"/>
    <w:bookmarkStart w:id="32"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w:t>
      </w:r>
      <w:r>
        <w:rPr>
          <w:rStyle w:val="FootnoteReference"/>
        </w:rPr>
        <w:footnoteReference w:id="30"/>
      </w:r>
      <w:r>
        <w:t xml:space="preserve"> </w:t>
      </w:r>
      <w:r>
        <w:t xml:space="preserve">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and data cube processing informing improved image classification algorithms; multi-temporal validation datasets and noise signal seperation; systematic accuracy assessment protocols.</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2"/>
    <w:bookmarkEnd w:id="33"/>
    <w:bookmarkStart w:id="94" w:name="allometry"/>
    <w:p>
      <w:pPr>
        <w:pStyle w:val="Heading1"/>
      </w:pPr>
      <w:r>
        <w:t xml:space="preserve">1. Allometry</w:t>
      </w:r>
    </w:p>
    <w:bookmarkStart w:id="40"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quarto/share/formats/docx/tip.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bookmarkStart w:id="37"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7"/>
    <w:bookmarkStart w:id="39" w:name="environment-setup-pythonindex-1"/>
    <w:p>
      <w:pPr>
        <w:pStyle w:val="Heading3"/>
      </w:pPr>
      <w:r>
        <w:rPr>
          <w:strike/>
        </w:rPr>
        <w:t xml:space="preserve">Environment Setup (Python)</w:t>
      </w:r>
      <w:r>
        <w:rPr>
          <w:rStyle w:val="FootnoteReference"/>
        </w:rPr>
        <w:footnoteReference w:id="38"/>
      </w:r>
    </w:p>
    <w:p>
      <w:pPr>
        <w:pStyle w:val="SourceCode"/>
      </w:pPr>
      <w:r>
        <w:rPr>
          <w:rStyle w:val="CommentTok"/>
        </w:rPr>
        <w:t xml:space="preserve"># Installer prerequisites</w:t>
      </w:r>
      <w:r>
        <w:br/>
      </w:r>
      <w:r>
        <w:rPr>
          <w:rStyle w:val="ImportTok"/>
        </w:rPr>
        <w:t xml:space="preserve">import</w:t>
      </w:r>
      <w:r>
        <w:rPr>
          <w:rStyle w:val="NormalTok"/>
        </w:rPr>
        <w:t xml:space="preserve"> subprocess, sys</w:t>
      </w:r>
      <w:r>
        <w:br/>
      </w:r>
      <w:r>
        <w:br/>
      </w:r>
      <w:r>
        <w:rPr>
          <w:rStyle w:val="CommentTok"/>
        </w:rPr>
        <w:t xml:space="preserve"># Quick package install </w:t>
      </w:r>
      <w:r>
        <w:br/>
      </w:r>
      <w:r>
        <w:rPr>
          <w:rStyle w:val="NormalTok"/>
        </w:rPr>
        <w:t xml:space="preserve">subprocess.run([sys.executable, </w:t>
      </w:r>
      <w:r>
        <w:rPr>
          <w:rStyle w:val="StringTok"/>
        </w:rPr>
        <w:t xml:space="preserve">"-m"</w:t>
      </w:r>
      <w:r>
        <w:rPr>
          <w:rStyle w:val="NormalTok"/>
        </w:rPr>
        <w:t xml:space="preserve">, </w:t>
      </w:r>
      <w:r>
        <w:rPr>
          <w:rStyle w:val="StringTok"/>
        </w:rPr>
        <w:t xml:space="preserve">"pip"</w:t>
      </w:r>
      <w:r>
        <w:rPr>
          <w:rStyle w:val="NormalTok"/>
        </w:rPr>
        <w:t xml:space="preserve">, </w:t>
      </w:r>
      <w:r>
        <w:rPr>
          <w:rStyle w:val="StringTok"/>
        </w:rPr>
        <w:t xml:space="preserve">"install"</w:t>
      </w:r>
      <w:r>
        <w:rPr>
          <w:rStyle w:val="NormalTok"/>
        </w:rPr>
        <w:t xml:space="preserve">, </w:t>
      </w:r>
      <w:r>
        <w:rPr>
          <w:rStyle w:val="StringTok"/>
        </w:rPr>
        <w:t xml:space="preserve">"--quiet"</w:t>
      </w:r>
      <w:r>
        <w:rPr>
          <w:rStyle w:val="NormalTok"/>
        </w:rPr>
        <w:t xml:space="preserve">, </w:t>
      </w:r>
      <w:r>
        <w:rPr>
          <w:rStyle w:val="StringTok"/>
        </w:rPr>
        <w:t xml:space="preserve">"-q"</w:t>
      </w:r>
      <w:r>
        <w:rPr>
          <w:rStyle w:val="NormalTok"/>
        </w:rPr>
        <w:t xml:space="preserve">,</w:t>
      </w:r>
      <w:r>
        <w:br/>
      </w:r>
      <w:r>
        <w:rPr>
          <w:rStyle w:val="NormalTok"/>
        </w:rPr>
        <w:t xml:space="preserve">  </w:t>
      </w:r>
      <w:r>
        <w:rPr>
          <w:rStyle w:val="StringTok"/>
        </w:rPr>
        <w:t xml:space="preserve">"contextily"</w:t>
      </w:r>
      <w:r>
        <w:rPr>
          <w:rStyle w:val="NormalTok"/>
        </w:rPr>
        <w:t xml:space="preserve">, </w:t>
      </w:r>
      <w:r>
        <w:rPr>
          <w:rStyle w:val="StringTok"/>
        </w:rPr>
        <w:t xml:space="preserve">"folium"</w:t>
      </w:r>
      <w:r>
        <w:rPr>
          <w:rStyle w:val="NormalTok"/>
        </w:rPr>
        <w:t xml:space="preserve">, </w:t>
      </w:r>
      <w:r>
        <w:rPr>
          <w:rStyle w:val="StringTok"/>
        </w:rPr>
        <w:t xml:space="preserve">"geopandas"</w:t>
      </w:r>
      <w:r>
        <w:rPr>
          <w:rStyle w:val="NormalTok"/>
        </w:rPr>
        <w:t xml:space="preserve">, </w:t>
      </w:r>
      <w:r>
        <w:rPr>
          <w:rStyle w:val="StringTok"/>
        </w:rPr>
        <w:t xml:space="preserve">"kaleido"</w:t>
      </w:r>
      <w:r>
        <w:rPr>
          <w:rStyle w:val="NormalTok"/>
        </w:rPr>
        <w:t xml:space="preserve">, </w:t>
      </w:r>
      <w:r>
        <w:rPr>
          <w:rStyle w:val="StringTok"/>
        </w:rPr>
        <w:t xml:space="preserve">"matplotlib"</w:t>
      </w:r>
      <w:r>
        <w:rPr>
          <w:rStyle w:val="NormalTok"/>
        </w:rPr>
        <w:t xml:space="preserve">, </w:t>
      </w:r>
      <w:r>
        <w:rPr>
          <w:rStyle w:val="StringTok"/>
        </w:rPr>
        <w:t xml:space="preserve">"numpy"</w:t>
      </w:r>
      <w:r>
        <w:rPr>
          <w:rStyle w:val="NormalTok"/>
        </w:rPr>
        <w:t xml:space="preserve">, </w:t>
      </w:r>
      <w:r>
        <w:br/>
      </w:r>
      <w:r>
        <w:rPr>
          <w:rStyle w:val="NormalTok"/>
        </w:rPr>
        <w:t xml:space="preserve">  </w:t>
      </w:r>
      <w:r>
        <w:rPr>
          <w:rStyle w:val="StringTok"/>
        </w:rPr>
        <w:t xml:space="preserve">"openpyxl"</w:t>
      </w:r>
      <w:r>
        <w:rPr>
          <w:rStyle w:val="NormalTok"/>
        </w:rPr>
        <w:t xml:space="preserve">, </w:t>
      </w:r>
      <w:r>
        <w:rPr>
          <w:rStyle w:val="StringTok"/>
        </w:rPr>
        <w:t xml:space="preserve">"pandas"</w:t>
      </w:r>
      <w:r>
        <w:rPr>
          <w:rStyle w:val="NormalTok"/>
        </w:rPr>
        <w:t xml:space="preserve">, </w:t>
      </w:r>
      <w:r>
        <w:rPr>
          <w:rStyle w:val="StringTok"/>
        </w:rPr>
        <w:t xml:space="preserve">"plotly"</w:t>
      </w:r>
      <w:r>
        <w:rPr>
          <w:rStyle w:val="NormalTok"/>
        </w:rPr>
        <w:t xml:space="preserve">, </w:t>
      </w:r>
      <w:r>
        <w:rPr>
          <w:rStyle w:val="StringTok"/>
        </w:rPr>
        <w:t xml:space="preserve">"pysal"</w:t>
      </w:r>
      <w:r>
        <w:rPr>
          <w:rStyle w:val="NormalTok"/>
        </w:rPr>
        <w:t xml:space="preserve">, </w:t>
      </w:r>
      <w:r>
        <w:rPr>
          <w:rStyle w:val="StringTok"/>
        </w:rPr>
        <w:t xml:space="preserve">"pyproj"</w:t>
      </w:r>
      <w:r>
        <w:rPr>
          <w:rStyle w:val="NormalTok"/>
        </w:rPr>
        <w:t xml:space="preserve">, </w:t>
      </w:r>
      <w:r>
        <w:rPr>
          <w:rStyle w:val="StringTok"/>
        </w:rPr>
        <w:t xml:space="preserve">"pingouin"</w:t>
      </w:r>
      <w:r>
        <w:rPr>
          <w:rStyle w:val="NormalTok"/>
        </w:rPr>
        <w:t xml:space="preserve">,</w:t>
      </w:r>
      <w:r>
        <w:rPr>
          <w:rStyle w:val="StringTok"/>
        </w:rPr>
        <w:t xml:space="preserve">"rasterio"</w:t>
      </w:r>
      <w:r>
        <w:rPr>
          <w:rStyle w:val="NormalTok"/>
        </w:rPr>
        <w:t xml:space="preserve">,</w:t>
      </w:r>
      <w:r>
        <w:br/>
      </w:r>
      <w:r>
        <w:rPr>
          <w:rStyle w:val="NormalTok"/>
        </w:rPr>
        <w:t xml:space="preserve">  </w:t>
      </w:r>
      <w:r>
        <w:rPr>
          <w:rStyle w:val="StringTok"/>
        </w:rPr>
        <w:t xml:space="preserve">"scikit-learn"</w:t>
      </w:r>
      <w:r>
        <w:rPr>
          <w:rStyle w:val="NormalTok"/>
        </w:rPr>
        <w:t xml:space="preserve">, </w:t>
      </w:r>
      <w:r>
        <w:rPr>
          <w:rStyle w:val="StringTok"/>
        </w:rPr>
        <w:t xml:space="preserve">"scipy"</w:t>
      </w:r>
      <w:r>
        <w:rPr>
          <w:rStyle w:val="NormalTok"/>
        </w:rPr>
        <w:t xml:space="preserve">, </w:t>
      </w:r>
      <w:r>
        <w:rPr>
          <w:rStyle w:val="StringTok"/>
        </w:rPr>
        <w:t xml:space="preserve">"seaborn"</w:t>
      </w:r>
      <w:r>
        <w:rPr>
          <w:rStyle w:val="NormalTok"/>
        </w:rPr>
        <w:t xml:space="preserve">, </w:t>
      </w:r>
      <w:r>
        <w:rPr>
          <w:rStyle w:val="StringTok"/>
        </w:rPr>
        <w:t xml:space="preserve">"statsmodels"</w:t>
      </w:r>
      <w:r>
        <w:rPr>
          <w:rStyle w:val="NormalTok"/>
        </w:rPr>
        <w:t xml:space="preserve">, </w:t>
      </w:r>
      <w:r>
        <w:rPr>
          <w:rStyle w:val="StringTok"/>
        </w:rPr>
        <w:t xml:space="preserve">"shapely"</w:t>
      </w:r>
      <w:r>
        <w:rPr>
          <w:rStyle w:val="NormalTok"/>
        </w:rPr>
        <w:t xml:space="preserve">, </w:t>
      </w:r>
      <w:r>
        <w:rPr>
          <w:rStyle w:val="StringTok"/>
        </w:rPr>
        <w:t xml:space="preserve">"skimpy"</w:t>
      </w:r>
      <w:r>
        <w:rPr>
          <w:rStyle w:val="NormalTok"/>
        </w:rPr>
        <w:t xml:space="preserve">,</w:t>
      </w:r>
      <w:r>
        <w:br/>
      </w:r>
      <w:r>
        <w:rPr>
          <w:rStyle w:val="NormalTok"/>
        </w:rPr>
        <w:t xml:space="preserve">  </w:t>
      </w:r>
      <w:r>
        <w:rPr>
          <w:rStyle w:val="StringTok"/>
        </w:rPr>
        <w:t xml:space="preserve">"xarray"</w:t>
      </w:r>
      <w:r>
        <w:rPr>
          <w:rStyle w:val="NormalTok"/>
        </w:rPr>
        <w:t xml:space="preserve">], check</w:t>
      </w:r>
      <w:r>
        <w:rPr>
          <w:rStyle w:val="OperatorTok"/>
        </w:rPr>
        <w:t xml:space="preserve">=</w:t>
      </w:r>
      <w:r>
        <w:rPr>
          <w:rStyle w:val="VariableTok"/>
        </w:rPr>
        <w:t xml:space="preserve">True</w:t>
      </w:r>
      <w:r>
        <w:rPr>
          <w:rStyle w:val="NormalTok"/>
        </w:rPr>
        <w:t xml:space="preserve">, capture_output</w:t>
      </w:r>
      <w:r>
        <w:rPr>
          <w:rStyle w:val="OperatorTok"/>
        </w:rPr>
        <w:t xml:space="preserve">=</w:t>
      </w:r>
      <w:r>
        <w:rPr>
          <w:rStyle w:val="VariableTok"/>
        </w:rPr>
        <w:t xml:space="preserve">True</w:t>
      </w:r>
      <w:r>
        <w:rPr>
          <w:rStyle w:val="NormalTok"/>
        </w:rPr>
        <w:t xml:space="preserve">)</w:t>
      </w:r>
      <w:r>
        <w:br/>
      </w:r>
      <w:r>
        <w:br/>
      </w:r>
      <w:r>
        <w:rPr>
          <w:rStyle w:val="CommentTok"/>
        </w:rPr>
        <w:t xml:space="preserve"># Import packages into runtime</w:t>
      </w:r>
      <w:r>
        <w:br/>
      </w:r>
      <w:r>
        <w:rPr>
          <w:rStyle w:val="ImportTok"/>
        </w:rPr>
        <w:t xml:space="preserve">import</w:t>
      </w:r>
      <w:r>
        <w:rPr>
          <w:rStyle w:val="NormalTok"/>
        </w:rPr>
        <w:t xml:space="preserve"> pandas </w:t>
      </w:r>
      <w:r>
        <w:rPr>
          <w:rStyle w:val="ImportTok"/>
        </w:rPr>
        <w:t xml:space="preserve">as</w:t>
      </w:r>
      <w:r>
        <w:rPr>
          <w:rStyle w:val="NormalTok"/>
        </w:rPr>
        <w:t xml:space="preserve"> pd,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seaborn </w:t>
      </w:r>
      <w:r>
        <w:rPr>
          <w:rStyle w:val="ImportTok"/>
        </w:rPr>
        <w:t xml:space="preserve">as</w:t>
      </w:r>
      <w:r>
        <w:rPr>
          <w:rStyle w:val="NormalTok"/>
        </w:rPr>
        <w:t xml:space="preserve"> sns</w:t>
      </w:r>
      <w:r>
        <w:br/>
      </w:r>
      <w:r>
        <w:rPr>
          <w:rStyle w:val="ImportTok"/>
        </w:rPr>
        <w:t xml:space="preserve">import</w:t>
      </w:r>
      <w:r>
        <w:rPr>
          <w:rStyle w:val="NormalTok"/>
        </w:rPr>
        <w:t xml:space="preserve"> plotly.express </w:t>
      </w:r>
      <w:r>
        <w:rPr>
          <w:rStyle w:val="ImportTok"/>
        </w:rPr>
        <w:t xml:space="preserve">as</w:t>
      </w:r>
      <w:r>
        <w:rPr>
          <w:rStyle w:val="NormalTok"/>
        </w:rPr>
        <w:t xml:space="preserve"> px, plotly.graph_objects </w:t>
      </w:r>
      <w:r>
        <w:rPr>
          <w:rStyle w:val="ImportTok"/>
        </w:rPr>
        <w:t xml:space="preserve">as</w:t>
      </w:r>
      <w:r>
        <w:rPr>
          <w:rStyle w:val="NormalTok"/>
        </w:rPr>
        <w:t xml:space="preserve"> go</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 RandomForestRegressor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scipy </w:t>
      </w:r>
      <w:r>
        <w:rPr>
          <w:rStyle w:val="ImportTok"/>
        </w:rPr>
        <w:t xml:space="preserve">import</w:t>
      </w:r>
      <w:r>
        <w:rPr>
          <w:rStyle w:val="NormalTok"/>
        </w:rPr>
        <w:t xml:space="preserve"> stats</w:t>
      </w:r>
      <w:r>
        <w:br/>
      </w:r>
      <w:r>
        <w:rPr>
          <w:rStyle w:val="ImportTok"/>
        </w:rPr>
        <w:t xml:space="preserve">import</w:t>
      </w:r>
      <w:r>
        <w:rPr>
          <w:rStyle w:val="NormalTok"/>
        </w:rPr>
        <w:t xml:space="preserve"> geopandas </w:t>
      </w:r>
      <w:r>
        <w:rPr>
          <w:rStyle w:val="ImportTok"/>
        </w:rPr>
        <w:t xml:space="preserve">as</w:t>
      </w:r>
      <w:r>
        <w:rPr>
          <w:rStyle w:val="NormalTok"/>
        </w:rPr>
        <w:t xml:space="preserve"> gpd, rasterio, folium</w:t>
      </w:r>
      <w:r>
        <w:br/>
      </w:r>
      <w:r>
        <w:rPr>
          <w:rStyle w:val="ImportTok"/>
        </w:rPr>
        <w:t xml:space="preserve">from</w:t>
      </w:r>
      <w:r>
        <w:rPr>
          <w:rStyle w:val="NormalTok"/>
        </w:rPr>
        <w:t xml:space="preserve"> tabulate </w:t>
      </w:r>
      <w:r>
        <w:rPr>
          <w:rStyle w:val="ImportTok"/>
        </w:rPr>
        <w:t xml:space="preserve">import</w:t>
      </w:r>
      <w:r>
        <w:rPr>
          <w:rStyle w:val="NormalTok"/>
        </w:rPr>
        <w:t xml:space="preserve"> tabulate</w:t>
      </w:r>
    </w:p>
    <w:bookmarkEnd w:id="39"/>
    <w:bookmarkEnd w:id="40"/>
    <w:bookmarkStart w:id="41"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41"/>
    <w:bookmarkStart w:id="72"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2">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bookmarkStart w:id="47" w:name="data-preparation"/>
    <w:p>
      <w:pPr>
        <w:pStyle w:val="Heading4"/>
      </w:pPr>
      <w:r>
        <w:t xml:space="preserve">Data Preparation</w:t>
      </w:r>
    </w:p>
    <w:p>
      <w:pPr>
        <w:pStyle w:val="FirstParagraph"/>
      </w:pPr>
      <w:r>
        <w:t xml:space="preserve">We imported the scbi_stem1 dataset from the allodb package, which contains 2,287 individual tree measurements from the ForestGEO permanent plot at Front Royal, Virginia. The dataset includes 12 families, spanning multiple genera and species (Table 1.1). This taxonomic diversity allows us to demonstrate equation selection across different levels of specificity.</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(scbi_stem1,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Trees (n)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p>
      <w:pPr>
        <w:pStyle w:val="SourceCode"/>
      </w:pPr>
      <w:r>
        <w:rPr>
          <w:rStyle w:val="CommentTok"/>
        </w:rPr>
        <w:t xml:space="preserve">## ----- Python cell ----- ##</w:t>
      </w:r>
      <w:r>
        <w:br/>
      </w:r>
      <w:r>
        <w:rPr>
          <w:rStyle w:val="CommentTok"/>
        </w:rPr>
        <w:t xml:space="preserve">## ----------------------- ##</w:t>
      </w:r>
      <w:r>
        <w:br/>
      </w:r>
      <w:r>
        <w:br/>
      </w:r>
      <w:r>
        <w:rPr>
          <w:rStyle w:val="NormalTok"/>
        </w:rPr>
        <w:t xml:space="preserve">demo_data_py </w:t>
      </w:r>
      <w:r>
        <w:rPr>
          <w:rStyle w:val="OperatorTok"/>
        </w:rPr>
        <w:t xml:space="preserve">=</w:t>
      </w:r>
      <w:r>
        <w:rPr>
          <w:rStyle w:val="NormalTok"/>
        </w:rPr>
        <w:t xml:space="preserve"> pd.read_csv(</w:t>
      </w:r>
      <w:r>
        <w:rPr>
          <w:rStyle w:val="StringTok"/>
        </w:rPr>
        <w:t xml:space="preserve">"./data/scbi_stem1.csv"</w:t>
      </w:r>
      <w:r>
        <w:rPr>
          <w:rStyle w:val="NormalTok"/>
        </w:rP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workflow.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FirstParagraph"/>
      </w:pPr>
      <w:r>
        <w:t xml:space="preserve">To demonstrate the comparative analysis, we created two filtered subsets: a genus-level dataset containing all Quercus observations (n=84 stems) and a species-specific subset for Quercus rubra. Missing DBH values were removed to ensure clean input for subsequent allometric calculations. The filtering procedure is detailed in Section 1.6.</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0.127</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bl>
    <w:p>
      <w:pPr>
        <w:pStyle w:val="FirstParagraph"/>
      </w:pPr>
      <w:r>
        <w:t xml:space="preserve">At this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p>
      <w:pPr>
        <w:pStyle w:val="SourceCode"/>
      </w:pPr>
      <w:r>
        <w:rPr>
          <w:rStyle w:val="CommentTok"/>
        </w:rPr>
        <w:t xml:space="preserve">## ----- Python cell ----- ##</w:t>
      </w:r>
      <w:r>
        <w:br/>
      </w:r>
      <w:r>
        <w:rPr>
          <w:rStyle w:val="CommentTok"/>
        </w:rPr>
        <w:t xml:space="preserve">## ----------------------- ##</w:t>
      </w:r>
      <w:r>
        <w:br/>
      </w:r>
      <w:r>
        <w:br/>
      </w:r>
      <w:r>
        <w:rPr>
          <w:rStyle w:val="CommentTok"/>
        </w:rPr>
        <w:t xml:space="preserve"># tidy</w:t>
      </w:r>
      <w:r>
        <w:br/>
      </w:r>
      <w:r>
        <w:rPr>
          <w:rStyle w:val="NormalTok"/>
        </w:rPr>
        <w:t xml:space="preserve">demo_data_py </w:t>
      </w:r>
      <w:r>
        <w:rPr>
          <w:rStyle w:val="OperatorTok"/>
        </w:rPr>
        <w:t xml:space="preserve">=</w:t>
      </w:r>
      <w:r>
        <w:rPr>
          <w:rStyle w:val="NormalTok"/>
        </w:rPr>
        <w:t xml:space="preserve"> (</w:t>
      </w:r>
      <w:r>
        <w:br/>
      </w:r>
      <w:r>
        <w:rPr>
          <w:rStyle w:val="NormalTok"/>
        </w:rPr>
        <w:t xml:space="preserve">    demo_data_py</w:t>
      </w:r>
      <w:r>
        <w:br/>
      </w:r>
      <w:r>
        <w:rPr>
          <w:rStyle w:val="NormalTok"/>
        </w:rPr>
        <w:t xml:space="preserve">    .query(</w:t>
      </w:r>
      <w:r>
        <w:rPr>
          <w:rStyle w:val="StringTok"/>
        </w:rPr>
        <w:t xml:space="preserve">'dbh.notna()'</w:t>
      </w:r>
      <w:r>
        <w:rPr>
          <w:rStyle w:val="NormalTok"/>
        </w:rPr>
        <w:t xml:space="preserve">)</w:t>
      </w:r>
      <w:r>
        <w:br/>
      </w:r>
      <w:r>
        <w:rPr>
          <w:rStyle w:val="NormalTok"/>
        </w:rPr>
        <w:t xml:space="preserve">  .query(</w:t>
      </w:r>
      <w:r>
        <w:rPr>
          <w:rStyle w:val="StringTok"/>
        </w:rPr>
        <w:t xml:space="preserve">'dbh &gt;= 5 &amp; dbh &lt;= 100'</w:t>
      </w:r>
      <w:r>
        <w:rPr>
          <w:rStyle w:val="NormalTok"/>
        </w:rPr>
        <w:t xml:space="preserve">)</w:t>
      </w:r>
      <w:r>
        <w:br/>
      </w:r>
      <w:r>
        <w:rPr>
          <w:rStyle w:val="NormalTok"/>
        </w:rPr>
        <w:t xml:space="preserve">  .reset_index(drop</w:t>
      </w:r>
      <w:r>
        <w:rPr>
          <w:rStyle w:val="OperatorTok"/>
        </w:rPr>
        <w:t xml:space="preserve">=</w:t>
      </w:r>
      <w:r>
        <w:rPr>
          <w:rStyle w:val="VariableTok"/>
        </w:rPr>
        <w:t xml:space="preserve">True</w:t>
      </w:r>
      <w:r>
        <w:rPr>
          <w:rStyle w:val="NormalTok"/>
        </w:rPr>
        <w:t xml:space="preserve">) </w:t>
      </w:r>
      <w:r>
        <w:rPr>
          <w:rStyle w:val="CommentTok"/>
        </w:rPr>
        <w:t xml:space="preserve"># avoids KeyError</w:t>
      </w:r>
      <w:r>
        <w:br/>
      </w:r>
      <w:r>
        <w:rPr>
          <w:rStyle w:val="NormalTok"/>
        </w:rPr>
        <w:t xml:space="preserve">  )</w:t>
      </w:r>
      <w:r>
        <w:br/>
      </w:r>
      <w:r>
        <w:br/>
      </w:r>
      <w:r>
        <w:rPr>
          <w:rStyle w:val="CommentTok"/>
        </w:rPr>
        <w:t xml:space="preserve"># tabulate</w:t>
      </w:r>
      <w:r>
        <w:br/>
      </w:r>
      <w:r>
        <w:rPr>
          <w:rStyle w:val="NormalTok"/>
        </w:rPr>
        <w:t xml:space="preserve">numeric_data </w:t>
      </w:r>
      <w:r>
        <w:rPr>
          <w:rStyle w:val="OperatorTok"/>
        </w:rPr>
        <w:t xml:space="preserve">=</w:t>
      </w:r>
      <w:r>
        <w:rPr>
          <w:rStyle w:val="NormalTok"/>
        </w:rPr>
        <w:t xml:space="preserve"> demo_data_py.select_dtypes(include</w:t>
      </w:r>
      <w:r>
        <w:rPr>
          <w:rStyle w:val="OperatorTok"/>
        </w:rPr>
        <w:t xml:space="preserve">=</w:t>
      </w:r>
      <w:r>
        <w:rPr>
          <w:rStyle w:val="NormalTok"/>
        </w:rPr>
        <w:t xml:space="preserve">[np.number])</w:t>
      </w:r>
      <w:r>
        <w:br/>
      </w:r>
      <w:r>
        <w:rPr>
          <w:rStyle w:val="NormalTok"/>
        </w:rPr>
        <w:t xml:space="preserve">desc_stats </w:t>
      </w:r>
      <w:r>
        <w:rPr>
          <w:rStyle w:val="OperatorTok"/>
        </w:rPr>
        <w:t xml:space="preserve">=</w:t>
      </w:r>
      <w:r>
        <w:rPr>
          <w:rStyle w:val="NormalTok"/>
        </w:rPr>
        <w:t xml:space="preserve"> pd.DataFrame({</w:t>
      </w:r>
      <w:r>
        <w:br/>
      </w:r>
      <w:r>
        <w:rPr>
          <w:rStyle w:val="NormalTok"/>
        </w:rPr>
        <w:t xml:space="preserve">    </w:t>
      </w:r>
      <w:r>
        <w:rPr>
          <w:rStyle w:val="StringTok"/>
        </w:rPr>
        <w:t xml:space="preserve">'vars'</w:t>
      </w:r>
      <w:r>
        <w:rPr>
          <w:rStyle w:val="NormalTok"/>
        </w:rPr>
        <w:t xml:space="preserve">: numeric_data.columns,</w:t>
      </w:r>
      <w:r>
        <w:br/>
      </w:r>
      <w:r>
        <w:rPr>
          <w:rStyle w:val="NormalTok"/>
        </w:rPr>
        <w:t xml:space="preserve">    </w:t>
      </w:r>
      <w:r>
        <w:rPr>
          <w:rStyle w:val="StringTok"/>
        </w:rPr>
        <w:t xml:space="preserve">'n'</w:t>
      </w:r>
      <w:r>
        <w:rPr>
          <w:rStyle w:val="NormalTok"/>
        </w:rPr>
        <w:t xml:space="preserve">: numeric_data.count().values,</w:t>
      </w:r>
      <w:r>
        <w:br/>
      </w:r>
      <w:r>
        <w:rPr>
          <w:rStyle w:val="NormalTok"/>
        </w:rPr>
        <w:t xml:space="preserve">    </w:t>
      </w:r>
      <w:r>
        <w:rPr>
          <w:rStyle w:val="StringTok"/>
        </w:rPr>
        <w:t xml:space="preserve">'mean'</w:t>
      </w:r>
      <w:r>
        <w:rPr>
          <w:rStyle w:val="NormalTok"/>
        </w:rPr>
        <w:t xml:space="preserve">: numeric_data.mean().values,</w:t>
      </w:r>
      <w:r>
        <w:br/>
      </w:r>
      <w:r>
        <w:rPr>
          <w:rStyle w:val="NormalTok"/>
        </w:rPr>
        <w:t xml:space="preserve">    </w:t>
      </w:r>
      <w:r>
        <w:rPr>
          <w:rStyle w:val="StringTok"/>
        </w:rPr>
        <w:t xml:space="preserve">'sd'</w:t>
      </w:r>
      <w:r>
        <w:rPr>
          <w:rStyle w:val="NormalTok"/>
        </w:rPr>
        <w:t xml:space="preserve">: numeric_data.std().values,</w:t>
      </w:r>
      <w:r>
        <w:br/>
      </w:r>
      <w:r>
        <w:rPr>
          <w:rStyle w:val="NormalTok"/>
        </w:rPr>
        <w:t xml:space="preserve">    </w:t>
      </w:r>
      <w:r>
        <w:rPr>
          <w:rStyle w:val="StringTok"/>
        </w:rPr>
        <w:t xml:space="preserve">'median'</w:t>
      </w:r>
      <w:r>
        <w:rPr>
          <w:rStyle w:val="NormalTok"/>
        </w:rPr>
        <w:t xml:space="preserve">: numeric_data.median().values,</w:t>
      </w:r>
      <w:r>
        <w:br/>
      </w:r>
      <w:r>
        <w:rPr>
          <w:rStyle w:val="NormalTok"/>
        </w:rPr>
        <w:t xml:space="preserve">    </w:t>
      </w:r>
      <w:r>
        <w:rPr>
          <w:rStyle w:val="StringTok"/>
        </w:rPr>
        <w:t xml:space="preserve">'min'</w:t>
      </w:r>
      <w:r>
        <w:rPr>
          <w:rStyle w:val="NormalTok"/>
        </w:rPr>
        <w:t xml:space="preserve">: numeric_data.</w:t>
      </w:r>
      <w:r>
        <w:rPr>
          <w:rStyle w:val="BuiltInTok"/>
        </w:rPr>
        <w:t xml:space="preserve">min</w:t>
      </w:r>
      <w:r>
        <w:rPr>
          <w:rStyle w:val="NormalTok"/>
        </w:rPr>
        <w:t xml:space="preserve">().values,</w:t>
      </w:r>
      <w:r>
        <w:br/>
      </w:r>
      <w:r>
        <w:rPr>
          <w:rStyle w:val="NormalTok"/>
        </w:rPr>
        <w:t xml:space="preserve">    </w:t>
      </w:r>
      <w:r>
        <w:rPr>
          <w:rStyle w:val="StringTok"/>
        </w:rPr>
        <w:t xml:space="preserve">'max'</w:t>
      </w:r>
      <w:r>
        <w:rPr>
          <w:rStyle w:val="NormalTok"/>
        </w:rPr>
        <w:t xml:space="preserve">: numeric_data.</w:t>
      </w:r>
      <w:r>
        <w:rPr>
          <w:rStyle w:val="BuiltInTok"/>
        </w:rPr>
        <w:t xml:space="preserve">max</w:t>
      </w:r>
      <w:r>
        <w:rPr>
          <w:rStyle w:val="NormalTok"/>
        </w:rPr>
        <w:t xml:space="preserve">().values,</w:t>
      </w:r>
      <w:r>
        <w:br/>
      </w:r>
      <w:r>
        <w:rPr>
          <w:rStyle w:val="NormalTok"/>
        </w:rPr>
        <w:t xml:space="preserve">    </w:t>
      </w:r>
      <w:r>
        <w:rPr>
          <w:rStyle w:val="StringTok"/>
        </w:rPr>
        <w:t xml:space="preserve">'skew'</w:t>
      </w:r>
      <w:r>
        <w:rPr>
          <w:rStyle w:val="NormalTok"/>
        </w:rPr>
        <w:t xml:space="preserve">: numeric_data.skew().values,</w:t>
      </w:r>
      <w:r>
        <w:br/>
      </w:r>
      <w:r>
        <w:rPr>
          <w:rStyle w:val="NormalTok"/>
        </w:rPr>
        <w:t xml:space="preserve">    </w:t>
      </w:r>
      <w:r>
        <w:rPr>
          <w:rStyle w:val="StringTok"/>
        </w:rPr>
        <w:t xml:space="preserve">'kurtosis'</w:t>
      </w:r>
      <w:r>
        <w:rPr>
          <w:rStyle w:val="NormalTok"/>
        </w:rPr>
        <w:t xml:space="preserve">: numeric_data.kurtosis().values</w:t>
      </w:r>
      <w:r>
        <w:br/>
      </w:r>
      <w:r>
        <w:rPr>
          <w:rStyle w:val="NormalTok"/>
        </w:rPr>
        <w:t xml:space="preserve">    }).</w:t>
      </w:r>
      <w:r>
        <w:rPr>
          <w:rStyle w:val="BuiltInTok"/>
        </w:rPr>
        <w:t xml:space="preserve">round</w:t>
      </w:r>
      <w:r>
        <w:rPr>
          <w:rStyle w:val="NormalTok"/>
        </w:rPr>
        <w:t xml:space="preserve">(</w:t>
      </w:r>
      <w:r>
        <w:rPr>
          <w:rStyle w:val="DecValTok"/>
        </w:rPr>
        <w:t xml:space="preserve">2</w:t>
      </w:r>
      <w:r>
        <w:rPr>
          <w:rStyle w:val="NormalTok"/>
        </w:rPr>
        <w:t xml:space="preserve">)</w:t>
      </w:r>
      <w:r>
        <w:br/>
      </w:r>
      <w:r>
        <w:br/>
      </w:r>
      <w:r>
        <w:rPr>
          <w:rStyle w:val="CommentTok"/>
        </w:rPr>
        <w:t xml:space="preserve"># visualize</w:t>
      </w:r>
      <w:r>
        <w:br/>
      </w:r>
      <w:r>
        <w:rPr>
          <w:rStyle w:val="BuiltInTok"/>
        </w:rPr>
        <w:t xml:space="preserve">print</w:t>
      </w:r>
      <w:r>
        <w:rPr>
          <w:rStyle w:val="NormalTok"/>
        </w:rPr>
        <w:t xml:space="preserve">(tabulate(desc_stats, </w:t>
      </w:r>
      <w:r>
        <w:br/>
      </w:r>
      <w:r>
        <w:rPr>
          <w:rStyle w:val="NormalTok"/>
        </w:rPr>
        <w:t xml:space="preserve">        headers</w:t>
      </w:r>
      <w:r>
        <w:rPr>
          <w:rStyle w:val="OperatorTok"/>
        </w:rPr>
        <w:t xml:space="preserve">=</w:t>
      </w:r>
      <w:r>
        <w:rPr>
          <w:rStyle w:val="StringTok"/>
        </w:rPr>
        <w:t xml:space="preserve">'keys'</w:t>
      </w:r>
      <w:r>
        <w:rPr>
          <w:rStyle w:val="NormalTok"/>
        </w:rPr>
        <w:t xml:space="preserve">, </w:t>
      </w:r>
      <w:r>
        <w:br/>
      </w:r>
      <w:r>
        <w:rPr>
          <w:rStyle w:val="NormalTok"/>
        </w:rPr>
        <w:t xml:space="preserve">        tablefmt</w:t>
      </w:r>
      <w:r>
        <w:rPr>
          <w:rStyle w:val="OperatorTok"/>
        </w:rPr>
        <w:t xml:space="preserve">=</w:t>
      </w:r>
      <w:r>
        <w:rPr>
          <w:rStyle w:val="StringTok"/>
        </w:rPr>
        <w:t xml:space="preserve">'pipe'</w:t>
      </w:r>
      <w:r>
        <w:rPr>
          <w:rStyle w:val="NormalTok"/>
        </w:rPr>
        <w:t xml:space="preserve">, </w:t>
      </w:r>
      <w:r>
        <w:br/>
      </w:r>
      <w:r>
        <w:rPr>
          <w:rStyle w:val="NormalTok"/>
        </w:rPr>
        <w:t xml:space="preserve">        showindex</w:t>
      </w:r>
      <w:r>
        <w:rPr>
          <w:rStyle w:val="OperatorTok"/>
        </w:rPr>
        <w:t xml:space="preserve">=</w:t>
      </w:r>
      <w:r>
        <w:rPr>
          <w:rStyle w:val="VariableTok"/>
        </w:rPr>
        <w:t xml:space="preserve">False</w:t>
      </w:r>
      <w:r>
        <w:rPr>
          <w:rStyle w:val="NormalTok"/>
        </w:rPr>
        <w:t xml:space="preserve">))</w:t>
      </w: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FirstParagraph"/>
      </w:pPr>
      <w:r>
        <w:t xml:space="preserve">The allodb equations database contains 570 allometric equations with 47 metadata fields documenting equation provenance, geographic origin, taxonomic scope, DBH range, sample size, and model fitting parameters. Key selection criteria include geographic coordinates (lat/long), equation taxa, allometry specificity (species/genus/family), DBH range (min/max), sample size, and bias correction status. The complete metadata structure is available in Section 1.6.</w:t>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bookmarkStart w:id="52" w:name="step-1-geographic-selection"/>
    <w:p>
      <w:pPr>
        <w:pStyle w:val="Heading4"/>
      </w:pPr>
      <w:r>
        <w:t xml:space="preserve">Step 1: Geographic Selection</w:t>
      </w:r>
    </w:p>
    <w:p>
      <w:pPr>
        <w:pStyle w:val="FirstParagraph"/>
      </w:pPr>
      <w:r>
        <w:t xml:space="preserve">We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BodyText"/>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p>
      <w:pPr>
        <w:pStyle w:val="BodyText"/>
      </w:pPr>
      <w:r>
        <w:t xml:space="preserve">We filtered equations to North America using latitude bounds of 24-72°N and longitude bounds of -168 to -52°W. This geographic constraint ensures climate similarity with our Front Royal, Virginia study site (Cfa - humid subtropical classification). The filter retained 157 equations from the original 570, including equations developed in temperate forests across the eastern United States, southeastern Canada, and Alaska.</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exp(3.63+2.54*log(dbh))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exp(0.15+2.48*log(dbh))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10^(2.648+0.715*(log10(dbh)))</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10^(2.481+1.19*(log10(dbh)))</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exp(4.081+2.202*(0.36738 + 0.94932*log(dbh)))</w:t>
            </w:r>
          </w:p>
        </w:tc>
      </w:tr>
    </w:tbl>
    <w:p>
      <w:pPr>
        <w:pStyle w:val="SourceCode"/>
      </w:pPr>
      <w:r>
        <w:br/>
      </w: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1.73738*(dbh^2)^1.33404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1.69511*(dbh^2)^1.33917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1.62952*(dbh^2)^1.34103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2.94915*(dbh^2)^1.21733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0.86674*(dbh^2)^1.47585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3.40602*(dbh^2)^1.19049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3.06739*(dbh^2)^1.22338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1.2927*(dbh^2)^1.36723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2.5465*(dbh^2)^1.22586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10^(-1.283+2.685*(log10(dbh)))</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10^(-1.587+2.910*(log10(dbh)))</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10^(-1.259+2.644*(log10(dbh)))</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0.1335*(dbh^2.422)*((3.706*dbh^0.4932)^0.4389)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r>
        <w:trPr>
          <w:trHeight w:val="360"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1.8219*dbh^0.6332</w:t>
            </w:r>
          </w:p>
        </w:tc>
      </w:tr>
    </w:tbl>
    <w:p>
      <w:pPr>
        <w:pStyle w:val="SourceCode"/>
      </w:pPr>
      <w:r>
        <w:br/>
      </w: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rPr>
          <w:rStyle w:val="NormalTok"/>
        </w:rPr>
        <w:t xml:space="preserv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BodyText"/>
      </w:pPr>
      <w:r>
        <w:t xml:space="preserve">Following Roxburgh et al. (2015), we applied a minimum sample size threshold of n ≥ 17 to ensure equations were derived from adequate destructive sampling campaigns. This threshold balances precision requirements (coefficient of variation ≤7.5%) with practical constraints of destructive sampling costs. Stratification across DBH size classes during equation development is equally critical for capturing biomass variance across age cohorts.</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Justification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Climate similarity to Front Royal, VA (Cfa)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 preferred; genus fallback acceptable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Minor extrapolation for saplings (&lt;5% biomass)</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r>
        <w:t xml:space="preserve">This weighted synthesis approach ensures that geographically proximate, species-specific equations with larger sample sizes exert greater influence on the final calibrated model. The resulting equation incorporates collective information from all weighted candidates while reflecting local wood density and architectural characteristics. Implementation details are provided in Section 1.6.</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bookmarkEnd w:id="58"/>
    <w:bookmarkEnd w:id="59"/>
    <w:bookmarkStart w:id="62"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BodyText"/>
      </w:pPr>
      <w:r>
        <w:t xml:space="preserve">We calculated aboveground biomass for all 84 Quercus stems using five allometric approaches:</w:t>
      </w:r>
    </w:p>
    <w:p>
      <w:pPr>
        <w:pStyle w:val="Compact"/>
        <w:numPr>
          <w:ilvl w:val="0"/>
          <w:numId w:val="1021"/>
        </w:numPr>
      </w:pPr>
      <w:r>
        <w:t xml:space="preserve">Species-specific (allodb weighted synthesis): Location-optimized equation incorporating multiple Quercus species equations</w:t>
      </w:r>
    </w:p>
    <w:p>
      <w:pPr>
        <w:pStyle w:val="Compact"/>
        <w:numPr>
          <w:ilvl w:val="0"/>
          <w:numId w:val="1021"/>
        </w:numPr>
      </w:pPr>
      <w:r>
        <w:t xml:space="preserve">Genus-level (Stovall 2018): Site-specific Quercus equation from the same SCBI location</w:t>
      </w:r>
    </w:p>
    <w:p>
      <w:pPr>
        <w:pStyle w:val="Compact"/>
        <w:numPr>
          <w:ilvl w:val="0"/>
          <w:numId w:val="1021"/>
        </w:numPr>
      </w:pPr>
      <w:r>
        <w:t xml:space="preserve">Chave et al. 2014 (pan-tropical moist): Generic equation incorporating wood density and environmental stress factors</w:t>
      </w:r>
    </w:p>
    <w:p>
      <w:pPr>
        <w:pStyle w:val="Compact"/>
        <w:numPr>
          <w:ilvl w:val="0"/>
          <w:numId w:val="1021"/>
        </w:numPr>
      </w:pPr>
      <w:r>
        <w:t xml:space="preserve">Chave et al. 2005 (pan-tropical): Earlier generic formulation with DBH and wood density</w:t>
      </w:r>
    </w:p>
    <w:p>
      <w:pPr>
        <w:pStyle w:val="Compact"/>
        <w:numPr>
          <w:ilvl w:val="0"/>
          <w:numId w:val="1021"/>
        </w:numPr>
      </w:pPr>
      <w:r>
        <w:t xml:space="preserve">Brown 1997 (tropical): Widely used generic equation based on DBH alone</w:t>
      </w:r>
    </w:p>
    <w:p>
      <w:pPr>
        <w:pStyle w:val="FirstParagraph"/>
      </w:pPr>
      <w:r>
        <w:t xml:space="preserve">Wood density values were extracted from the Global Wood Density database (Vieilledent et al., 2018) using the BIOMASS package, yielding mean WD = 0.630 g/cm³ for Quercus species (consistent with oak hardwood density). Note that Chave’s 2014 equation’s outputs required unit conversion from Mg to kg (×1000; Chave et al, 2014, Réjou-Méchain, Tanguy, Piponiot, Chave, &amp; Hérault, 2017), while Brown 1997 required division by 100 to match the original scale. These unit conversions are critical for accurate inter-equation comparison (see Section 1.6 for implementation).</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Applications/quarto/share/formats/docx/tip.png" id="6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agb_brown1997</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20.71693889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1,062.32043295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454.24357825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1,242.13345169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0.11253976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17.32740278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4,251.86147125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0.34807328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3,509.75409893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325.19741123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166.18262526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20.42042603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136.67671331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0.24369616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1,139.31864776</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620.85681481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338.90772523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2,150.28497856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540.01726667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103.98302468</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12.25120227</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1.58991841</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845.47598474</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1,524.29234100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1,925.89207151</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476.53310154</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0.09790577</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6.05025214</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277.43869296</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1,508.31475695</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1,636.49080317</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236.25885900</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1,251.35966700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159.75555463</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601.94627008</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1,991.17136355</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456.55939093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425.15192548</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463.15989790</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1,481.38595772</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0.10506872</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116.75267326</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1,356.33440775</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2.94481692</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681.69558886</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162.84629534</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1,850.18804602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141.19494298</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852.22575020</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18.52780521</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72.39828285</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811.11705223</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3.79675072</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2,573.78798878</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0.75774676</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242.80150157</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2,276.80465795</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6,146.83007285</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7.56659907</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28.99109110</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872.09861504</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109.60243314</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39.00074350</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1,677.79507251</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891.09031354</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1,732.68440736</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26.22868617</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0.09329937</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956.79728404</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0.74971772</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48.23371373</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37.53334068</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315.83417415</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2.34562232</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0.22392226</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206.58251378</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7.18391557</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1,572.02086480</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446.57525689</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47.14895719</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2,964.43542637</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1,526.69766645</w:t>
            </w:r>
          </w:p>
        </w:tc>
      </w:tr>
      <w:tr>
        <w:trPr>
          <w:trHeight w:val="360"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2,919.11154588</w:t>
            </w:r>
          </w:p>
        </w:tc>
      </w:tr>
      <w:tr>
        <w:trPr>
          <w:trHeight w:val="360"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96.71639363</w:t>
            </w:r>
          </w:p>
        </w:tc>
      </w:tr>
    </w:tbl>
    <w:p>
      <w:pPr>
        <w:pStyle w:val="FirstParagraph"/>
      </w:pPr>
      <w:r>
        <w:t xml:space="preserve">Table 1D: Aboveground biomass estimates derived from five allometry equations of varying scales</w:t>
      </w:r>
    </w:p>
    <w:bookmarkEnd w:id="62"/>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1"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that threaten carbon credit revenues. The Breusch-Pagan test identifies which predictor drives heteroscedasticity by regressing squared residuals against predictor values:</w:t>
      </w:r>
    </w:p>
    <w:p>
      <w:pPr>
        <w:pStyle w:val="Compact"/>
        <w:numPr>
          <w:ilvl w:val="0"/>
          <w:numId w:val="1023"/>
        </w:numPr>
      </w:pPr>
      <w:r>
        <w:t xml:space="preserve">Null hypothesis (H₀): Homoscedastic (constant variance)</w:t>
      </w:r>
    </w:p>
    <w:p>
      <w:pPr>
        <w:pStyle w:val="Compact"/>
        <w:numPr>
          <w:ilvl w:val="0"/>
          <w:numId w:val="1023"/>
        </w:numPr>
      </w:pPr>
      <w:r>
        <w:t xml:space="preserve">Alternative (H₁): Heteroscedastic (variance changes with predictors)</w:t>
      </w:r>
    </w:p>
    <w:p>
      <w:pPr>
        <w:pStyle w:val="Compact"/>
        <w:numPr>
          <w:ilvl w:val="0"/>
          <w:numId w:val="1023"/>
        </w:numPr>
      </w:pPr>
      <w:r>
        <w:t xml:space="preserve">Decision rule: p &lt; 0.05 rejects H₀</w:t>
      </w:r>
    </w:p>
    <w:p>
      <w:pPr>
        <w:pStyle w:val="FirstParagraph"/>
      </w:pPr>
      <w:r>
        <w:t xml:space="preserve">Large trees exhibit greater prediction variance than small trees due to power-law scaling (AGB ∝ DBH^2.5). Without correction, uncertainty estimates are systematically upward-biased, particularly for canopy dominants that drive cumulative biomass.</w:t>
      </w:r>
    </w:p>
    <w:p>
      <w:pPr>
        <w:pStyle w:val="BodyText"/>
      </w:pPr>
      <w:r>
        <w:t xml:space="preserve">Test Results</w:t>
      </w:r>
    </w:p>
    <w:p>
      <w:pPr>
        <w:pStyle w:val="Compact"/>
        <w:numPr>
          <w:ilvl w:val="0"/>
          <w:numId w:val="1024"/>
        </w:numPr>
      </w:pPr>
      <w:r>
        <w:t xml:space="preserve">BP statistic: 10.0051</w:t>
      </w:r>
    </w:p>
    <w:p>
      <w:pPr>
        <w:pStyle w:val="Compact"/>
        <w:numPr>
          <w:ilvl w:val="0"/>
          <w:numId w:val="1024"/>
        </w:numPr>
      </w:pPr>
      <w:r>
        <w:t xml:space="preserve">p-value: 0.0016</w:t>
      </w:r>
    </w:p>
    <w:p>
      <w:pPr>
        <w:pStyle w:val="Compact"/>
        <w:numPr>
          <w:ilvl w:val="0"/>
          <w:numId w:val="1024"/>
        </w:numPr>
      </w:pPr>
      <w:r>
        <w:t xml:space="preserve">Decision: Heteroscedasticity confirmed</w:t>
      </w:r>
    </w:p>
    <w:p>
      <w:pPr>
        <w:pStyle w:val="FirstParagraph"/>
      </w:pPr>
      <w:r>
        <w:t xml:space="preserve">The diagnostic plot (Figure 1.2) shows the classic funnel pattern: small trees (DBH &lt; 20 cm) cluster tightly around the fitted line while large trees (DBH &gt; 60 cm) exhibit substantial scatter. This reflects power-law scaling where small multiplicative errors in β translate to large absolute errors for canopy dominants.</w:t>
      </w:r>
    </w:p>
    <w:bookmarkStart w:id="70" w:name="common-corrections"/>
    <w:p>
      <w:pPr>
        <w:pStyle w:val="Heading4"/>
      </w:pPr>
      <w:r>
        <w:t xml:space="preserve">Common Corrections</w:t>
      </w:r>
    </w:p>
    <w:p>
      <w:pPr>
        <w:pStyle w:val="Compact"/>
        <w:numPr>
          <w:ilvl w:val="0"/>
          <w:numId w:val="1025"/>
        </w:numPr>
      </w:pPr>
      <w:r>
        <w:t xml:space="preserve">Log-transformation of both variables</w:t>
      </w:r>
    </w:p>
    <w:p>
      <w:pPr>
        <w:pStyle w:val="Compact"/>
        <w:numPr>
          <w:ilvl w:val="0"/>
          <w:numId w:val="1025"/>
        </w:numPr>
      </w:pPr>
      <w:r>
        <w:t xml:space="preserve">Weighted regression for residual heteroscedasticity</w:t>
      </w:r>
    </w:p>
    <w:p>
      <w:pPr>
        <w:pStyle w:val="Compact"/>
        <w:numPr>
          <w:ilvl w:val="0"/>
          <w:numId w:val="1025"/>
        </w:numPr>
      </w:pPr>
      <w:r>
        <w:t xml:space="preserve">Robust standard errors to supplement transformation</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t xml:space="preserve">Required corrections:</w:t>
      </w:r>
    </w:p>
    <w:p>
      <w:pPr>
        <w:pStyle w:val="Compact"/>
        <w:numPr>
          <w:ilvl w:val="0"/>
          <w:numId w:val="1026"/>
        </w:numPr>
      </w:pPr>
      <w:r>
        <w:t xml:space="preserve">Log-transformation of both variables</w:t>
      </w:r>
    </w:p>
    <w:p>
      <w:pPr>
        <w:pStyle w:val="Compact"/>
        <w:numPr>
          <w:ilvl w:val="0"/>
          <w:numId w:val="1026"/>
        </w:numPr>
      </w:pPr>
      <w:r>
        <w:t xml:space="preserve">Weighted regression for residual heteroscedasticity</w:t>
      </w:r>
    </w:p>
    <w:p>
      <w:pPr>
        <w:pStyle w:val="Compact"/>
        <w:numPr>
          <w:ilvl w:val="0"/>
          <w:numId w:val="1026"/>
        </w:numPr>
      </w:pPr>
      <w:r>
        <w:t xml:space="preserve">Robust standard errors to supplement transformation</w:t>
      </w:r>
    </w:p>
    <w:bookmarkEnd w:id="70"/>
    <w:bookmarkEnd w:id="71"/>
    <w:bookmarkEnd w:id="72"/>
    <w:bookmarkStart w:id="77" w:name="model-optimization"/>
    <w:p>
      <w:pPr>
        <w:pStyle w:val="Heading2"/>
      </w:pPr>
      <w:r>
        <w:t xml:space="preserve">1.3 Model Optimization</w:t>
      </w:r>
    </w:p>
    <w:bookmarkStart w:id="76"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7"/>
        </w:numPr>
      </w:pPr>
      <w:r>
        <w:rPr>
          <w:rStyle w:val="VerbatimChar"/>
        </w:rPr>
        <w:t xml:space="preserve">β</w:t>
      </w:r>
      <w:r>
        <w:t xml:space="preserve"> </w:t>
      </w:r>
      <w:r>
        <w:t xml:space="preserve">becomes a slope coefficient</w:t>
      </w:r>
    </w:p>
    <w:p>
      <w:pPr>
        <w:pStyle w:val="Compact"/>
        <w:numPr>
          <w:ilvl w:val="0"/>
          <w:numId w:val="1027"/>
        </w:numPr>
      </w:pPr>
      <w:r>
        <w:t xml:space="preserve">Variance stabilizes across tree sizes</w:t>
      </w:r>
    </w:p>
    <w:p>
      <w:pPr>
        <w:pStyle w:val="Compact"/>
        <w:numPr>
          <w:ilvl w:val="0"/>
          <w:numId w:val="1027"/>
        </w:numPr>
      </w:pPr>
      <w:r>
        <w:t xml:space="preserve">Residuals are normalized enough to satisfy OLS assumptions that our predictions are dependent 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 name="Picture"/>
                  <a:graphic>
                    <a:graphicData uri="http://schemas.openxmlformats.org/drawingml/2006/picture">
                      <pic:pic>
                        <pic:nvPicPr>
                          <pic:cNvPr descr="/Applications/quarto/share/formats/docx/important.png" id="7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BodyText"/>
      </w:pPr>
      <w:r>
        <w:t xml:space="preserve">We fitted linear and log-transformed regression models for all five allometric equations, comparing their prediction accuracy using:</w:t>
      </w:r>
    </w:p>
    <w:p>
      <w:pPr>
        <w:pStyle w:val="Compact"/>
        <w:numPr>
          <w:ilvl w:val="0"/>
          <w:numId w:val="1028"/>
        </w:numPr>
      </w:pPr>
      <w:r>
        <w:t xml:space="preserve">MAE (Mean Absolute Error): Average absolute deviation in kg</w:t>
      </w:r>
    </w:p>
    <w:p>
      <w:pPr>
        <w:pStyle w:val="Compact"/>
        <w:numPr>
          <w:ilvl w:val="0"/>
          <w:numId w:val="1028"/>
        </w:numPr>
      </w:pPr>
      <w:r>
        <w:t xml:space="preserve">RMSE (Root Mean Square Error): Standard deviation of residuals in kg</w:t>
      </w:r>
    </w:p>
    <w:p>
      <w:pPr>
        <w:pStyle w:val="Compact"/>
        <w:numPr>
          <w:ilvl w:val="0"/>
          <w:numId w:val="1028"/>
        </w:numPr>
      </w:pPr>
      <w:r>
        <w:t xml:space="preserve">Relative RMSE (%): RMSE as percentage of mean biomass, enabling cross-equation comparison</w:t>
      </w:r>
    </w:p>
    <w:p>
      <w:pPr>
        <w:pStyle w:val="FirstParagraph"/>
      </w:pPr>
      <w:r>
        <w:t xml:space="preserve">For log-transformed models, predictions were back-transformed to the original scale using exponentiation (exp(predicted log-AGB)), and metrics were calculated on back-transformed residuals. This ensures fair comparison with linear models while preserving the variance-stabilizing benefits of log-transformation.</w:t>
      </w:r>
    </w:p>
    <w:p>
      <w:pPr>
        <w:pStyle w:val="BodyText"/>
      </w:pPr>
      <w:r>
        <w:t xml:space="preserve">Results (Table X) demonstrate dramatic improvement: log-transformation reduced relative RMSE from 45-60% to 0.3-17% across all equation types—representing 40-60 percentage point reductions in uncertainty. The species-specific log model achieved the lowest uncertainty (0.34%), while even generic pan-tropical equations improved substantially under log-transformation.</w:t>
      </w:r>
    </w:p>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Reduction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45.2469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40.2256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47.5000</w:t>
            </w:r>
          </w:p>
        </w:tc>
      </w:tr>
    </w:tbl>
    <w:p>
      <w:pPr>
        <w:pStyle w:val="FirstParagraph"/>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5" w:name="age-class-stratification-split"/>
    <w:p>
      <w:pPr>
        <w:pStyle w:val="Heading4"/>
      </w:pPr>
      <w:r>
        <w:t xml:space="preserve">Age-Class Stratification Split</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Δ (%)</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p>
      <w:pPr>
        <w:pStyle w:val="BodyText"/>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bookmarkEnd w:id="75"/>
    <w:bookmarkEnd w:id="76"/>
    <w:bookmarkEnd w:id="77"/>
    <w:bookmarkStart w:id="79"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9"/>
        </w:numPr>
      </w:pPr>
      <w:r>
        <w:t xml:space="preserve">Assess generalization: Test model performance on unseen data</w:t>
      </w:r>
    </w:p>
    <w:p>
      <w:pPr>
        <w:pStyle w:val="Compact"/>
        <w:numPr>
          <w:ilvl w:val="0"/>
          <w:numId w:val="1029"/>
        </w:numPr>
      </w:pPr>
      <w:r>
        <w:t xml:space="preserve">Quantify uncertainty: Calculate robust RMSE estimates</w:t>
      </w:r>
    </w:p>
    <w:p>
      <w:pPr>
        <w:pStyle w:val="Compact"/>
        <w:numPr>
          <w:ilvl w:val="0"/>
          <w:numId w:val="1029"/>
        </w:numPr>
      </w:pPr>
      <w:r>
        <w:t xml:space="preserve">Compare models: Select best-performing equation type</w:t>
      </w:r>
    </w:p>
    <w:p>
      <w:pPr>
        <w:pStyle w:val="Compact"/>
        <w:numPr>
          <w:ilvl w:val="0"/>
          <w:numId w:val="1029"/>
        </w:numPr>
      </w:pPr>
      <w:r>
        <w:t xml:space="preserve">Meet MRV standards: Demonstrate compliance with ART-TREES/VCS requirements</w:t>
      </w:r>
    </w:p>
    <w:bookmarkStart w:id="78" w:name="monte-carlo-simulation-design"/>
    <w:p>
      <w:pPr>
        <w:pStyle w:val="Heading4"/>
      </w:pPr>
      <w:r>
        <w:t xml:space="preserve">Monte Carlo Simulation Design:</w:t>
      </w:r>
    </w:p>
    <w:p>
      <w:pPr>
        <w:pStyle w:val="FirstParagraph"/>
      </w:pPr>
      <w:r>
        <w:t xml:space="preserve">We implemented 100-iteration Monte Carlo cross-validation to quantify out-of-sample prediction error and prevent over-fitting. Each iteration:</w:t>
      </w:r>
    </w:p>
    <w:p>
      <w:pPr>
        <w:pStyle w:val="Compact"/>
        <w:numPr>
          <w:ilvl w:val="0"/>
          <w:numId w:val="1030"/>
        </w:numPr>
      </w:pPr>
      <w:r>
        <w:t xml:space="preserve">Randomly splits data into 80% calibration / 20% validation (stratified by DBH class)</w:t>
      </w:r>
    </w:p>
    <w:p>
      <w:pPr>
        <w:pStyle w:val="Compact"/>
        <w:numPr>
          <w:ilvl w:val="0"/>
          <w:numId w:val="1030"/>
        </w:numPr>
      </w:pPr>
      <w:r>
        <w:t xml:space="preserve">Fits the model on calibration data</w:t>
      </w:r>
    </w:p>
    <w:p>
      <w:pPr>
        <w:pStyle w:val="Compact"/>
        <w:numPr>
          <w:ilvl w:val="0"/>
          <w:numId w:val="1030"/>
        </w:numPr>
      </w:pPr>
      <w:r>
        <w:t xml:space="preserve">Predicts validation data</w:t>
      </w:r>
    </w:p>
    <w:p>
      <w:pPr>
        <w:pStyle w:val="Compact"/>
        <w:numPr>
          <w:ilvl w:val="0"/>
          <w:numId w:val="1030"/>
        </w:numPr>
      </w:pPr>
      <w:r>
        <w:t xml:space="preserve">Calculates performance metrics (MAE, RMSE, R²)</w:t>
      </w:r>
    </w:p>
    <w:p>
      <w:pPr>
        <w:pStyle w:val="FirstParagraph"/>
      </w:pPr>
      <w:r>
        <w:t xml:space="preserve">This process was repeated for all 10 model configurations:</w:t>
      </w:r>
    </w:p>
    <w:p>
      <w:pPr>
        <w:pStyle w:val="Compact"/>
        <w:numPr>
          <w:ilvl w:val="0"/>
          <w:numId w:val="1031"/>
        </w:numPr>
      </w:pPr>
      <w:r>
        <w:t xml:space="preserve">5 allometric equations (Species-specific, Genus, Chave 2014, Brown 1997, Chave 2005)</w:t>
      </w:r>
    </w:p>
    <w:p>
      <w:pPr>
        <w:pStyle w:val="Compact"/>
        <w:numPr>
          <w:ilvl w:val="0"/>
          <w:numId w:val="1031"/>
        </w:numPr>
      </w:pPr>
      <w:r>
        <w:t xml:space="preserve">2 transformations each (Linear, Log-transformed)</w:t>
      </w:r>
    </w:p>
    <w:p>
      <w:pPr>
        <w:pStyle w:val="FirstParagraph"/>
      </w:pPr>
      <w:r>
        <w:t xml:space="preserve">Across 100 iterations, we accumulated validation predictions per model, providing robust uncertainty estimates that reflect true generalization performance rather than training-set over-fitting. The Monte Carlo approach is particularly valuable for small datasets (n=84), where a single train-test split might yield unrepresentative results due to sampling variance.</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bookmarkEnd w:id="78"/>
    <w:bookmarkEnd w:id="79"/>
    <w:bookmarkStart w:id="85" w:name="allometric-uncertainty"/>
    <w:p>
      <w:pPr>
        <w:pStyle w:val="Heading2"/>
      </w:pPr>
      <w:r>
        <w:t xml:space="preserve">1.5 Allometric Uncertainty</w:t>
      </w:r>
    </w:p>
    <w:bookmarkStart w:id="80"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32"/>
        </w:numPr>
      </w:pPr>
      <w:r>
        <w:t xml:space="preserve">RMSE (Root Mean Square Error): Primary uncertainty metric for ART-TREES deductions</w:t>
      </w:r>
    </w:p>
    <w:p>
      <w:pPr>
        <w:pStyle w:val="Compact"/>
        <w:numPr>
          <w:ilvl w:val="0"/>
          <w:numId w:val="1032"/>
        </w:numPr>
      </w:pPr>
      <w:r>
        <w:t xml:space="preserve">Relative RMSE (%): RMSE as percentage of mean, enabling cross-equation comparison</w:t>
      </w:r>
    </w:p>
    <w:p>
      <w:pPr>
        <w:pStyle w:val="Compact"/>
        <w:numPr>
          <w:ilvl w:val="0"/>
          <w:numId w:val="1032"/>
        </w:numPr>
      </w:pPr>
      <w:r>
        <w:t xml:space="preserve">MAE (Mean Absolute Error): Robust alternative less sensitive to outliers</w:t>
      </w:r>
    </w:p>
    <w:p>
      <w:pPr>
        <w:pStyle w:val="Compact"/>
        <w:numPr>
          <w:ilvl w:val="0"/>
          <w:numId w:val="1032"/>
        </w:numPr>
      </w:pPr>
      <w:r>
        <w:t xml:space="preserve">R² (Coefficient of Determination): Proportion of variance explained</w:t>
      </w:r>
    </w:p>
    <w:p>
      <w:pPr>
        <w:pStyle w:val="Compact"/>
        <w:numPr>
          <w:ilvl w:val="0"/>
          <w:numId w:val="1032"/>
        </w:numPr>
      </w:pPr>
      <w:r>
        <w:t xml:space="preserve">Shapiro-Wilk p-value: Tests residual normality (OLS assumption verification)</w:t>
      </w:r>
    </w:p>
    <w:p>
      <w:pPr>
        <w:pStyle w:val="Compact"/>
        <w:numPr>
          <w:ilvl w:val="0"/>
          <w:numId w:val="1032"/>
        </w:numPr>
      </w:pPr>
      <w:r>
        <w:t xml:space="preserve">Deduction (%): Carbon credit deduction rate per ART-TREES Equation 11</w:t>
      </w:r>
    </w:p>
    <w:p>
      <w:pPr>
        <w:pStyle w:val="FirstParagraph"/>
      </w:pPr>
      <w:r>
        <w:t xml:space="preserve">For log-transformed models, all metrics were calculated on back-transformed predictions to ensure fair comparison with linear models. Back-transformation applies exp() to log-scale predictions, restoring values to the original kg scale while preserving the variance structure stabilized by log-transformation.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16.1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18.8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20.8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19.6</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BodyText"/>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0"/>
    <w:bookmarkStart w:id="81" w:name="uncertainty-evaluation"/>
    <w:p>
      <w:pPr>
        <w:pStyle w:val="Heading3"/>
      </w:pPr>
      <w:r>
        <w:t xml:space="preserve">Uncertainty Evaluation</w:t>
      </w:r>
    </w:p>
    <w:p>
      <w:pPr>
        <w:pStyle w:val="FirstParagraph"/>
      </w:pPr>
      <w:r>
        <w:t xml:space="preserve">We ranked the five log-transformed models by relative RMSE (%), showing their performance hierarchy and financial implications for a hypothetical 1M tCO₂e REDD+ project at $5/tonne carbon price:</w:t>
      </w:r>
    </w:p>
    <w:p>
      <w:pPr>
        <w:pStyle w:val="BodyText"/>
      </w:pPr>
      <w:r>
        <w:t xml:space="preserve">The ranking reveals that genus-level and Brown 1997 models achieved perfect fits (RMSE = 0.00%, R² = 1.000), which likely indicates over-fitting given the small sample size. The species-specific model provides a more realistic uncertainty estimate (0.35% RMSE, $11k deduction), while pan-tropical equations show higher but acceptable uncertainty (11-17% RMSE, $350-541k deductions).</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1"/>
    <w:bookmarkStart w:id="84" w:name="uncertainty-deductions"/>
    <w:p>
      <w:pPr>
        <w:pStyle w:val="Heading3"/>
      </w:pPr>
      <w:r>
        <w:t xml:space="preserve">Uncertainty Deductions</w:t>
      </w:r>
    </w:p>
    <w:p>
      <w:pPr>
        <w:pStyle w:val="FirstParagraph"/>
      </w:pPr>
      <w:r>
        <w:t xml:space="preserve">Following ART-TREES Equation 11, we calculated the carbon credit deduction for the best-performing model (genus-level log-transformed). The deduction formula converts relative RMSE into a half-width 90% confidence interval, then applies the UA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p>
    <w:p>
      <w:pPr>
        <w:pStyle w:val="Compact"/>
        <w:numPr>
          <w:ilvl w:val="0"/>
          <w:numId w:val="1033"/>
        </w:numPr>
      </w:pPr>
      <w:r>
        <w:t xml:space="preserve">Half-width 90% CI = RMSE (%) / 100</w:t>
      </w:r>
    </w:p>
    <w:p>
      <w:pPr>
        <w:pStyle w:val="Compact"/>
        <w:numPr>
          <w:ilvl w:val="0"/>
          <w:numId w:val="1033"/>
        </w:numPr>
      </w:pPr>
      <w:r>
        <w:t xml:space="preserve">The constant 1.645006 is the z-score for 90% confidence</w:t>
      </w:r>
    </w:p>
    <w:p>
      <w:pPr>
        <w:pStyle w:val="Compact"/>
        <w:numPr>
          <w:ilvl w:val="0"/>
          <w:numId w:val="1033"/>
        </w:numPr>
      </w:pPr>
      <w:r>
        <w:t xml:space="preserve">The constant 0.524417 converts to ART-TREES deduction rate</w:t>
      </w:r>
    </w:p>
    <w:p>
      <w:pPr>
        <w:pStyle w:val="FirstParagraph"/>
      </w:pPr>
      <w:r>
        <w:t xml:space="preserve">For a hypothetical 1M tCO₂e project at $5/tonne, the calculation proceeds as shown in the output below. Note that the genus-level model’s 0.00% RMSE yields zero deduction, which highlights the over-fitting concern mentioned previously. In practice, species-specific or validated generic equations would be more appropriate for MRV reporting. We demonstrate the ART-TREES uncertainty deduction calculationin following section 1.6.</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Applications/quarto/share/formats/docx/important.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34"/>
              </w:numPr>
            </w:pPr>
            <w:r>
              <w:t xml:space="preserve">RMSE improvement: 18.9% =&gt; 15.2% (3.7 percentage points)</w:t>
            </w:r>
          </w:p>
          <w:p>
            <w:pPr>
              <w:pStyle w:val="Compact"/>
              <w:numPr>
                <w:ilvl w:val="0"/>
                <w:numId w:val="1034"/>
              </w:numPr>
            </w:pPr>
            <w:r>
              <w:t xml:space="preserve">Deduction reduction: 6.0% =&gt; 4.8% (1.2 percentage points)</w:t>
            </w:r>
          </w:p>
          <w:p>
            <w:pPr>
              <w:pStyle w:val="Compact"/>
              <w:numPr>
                <w:ilvl w:val="0"/>
                <w:numId w:val="1034"/>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5"/>
              </w:numPr>
            </w:pPr>
            <w:r>
              <w:t xml:space="preserve">Total protected revenue: ~$360,000</w:t>
            </w:r>
          </w:p>
          <w:p>
            <w:pPr>
              <w:pStyle w:val="Compact"/>
              <w:numPr>
                <w:ilvl w:val="0"/>
                <w:numId w:val="1035"/>
              </w:numPr>
            </w:pPr>
            <w:r>
              <w:t xml:space="preserve">Additional cost: ~$15-30k for species-specific equation development</w:t>
            </w:r>
          </w:p>
          <w:p>
            <w:pPr>
              <w:pStyle w:val="Compact"/>
              <w:numPr>
                <w:ilvl w:val="0"/>
                <w:numId w:val="1035"/>
              </w:numPr>
            </w:pPr>
            <w:r>
              <w:t xml:space="preserve">Return on investment: 12-24x</w:t>
            </w:r>
          </w:p>
        </w:tc>
      </w:tr>
    </w:tbl>
    <w:bookmarkEnd w:id="84"/>
    <w:bookmarkEnd w:id="85"/>
    <w:bookmarkStart w:id="87" w:name="reproducible-workflowindex-3"/>
    <w:p>
      <w:pPr>
        <w:pStyle w:val="Heading2"/>
      </w:pPr>
      <w:r>
        <w:t xml:space="preserve">1.6 Reproducible Workflow</w:t>
      </w:r>
      <w:r>
        <w:rPr>
          <w:rStyle w:val="FootnoteReference"/>
        </w:rPr>
        <w:footnoteReference w:id="86"/>
      </w:r>
    </w:p>
    <w:p>
      <w:pPr>
        <w:pStyle w:val="BodyText"/>
      </w:pPr>
      <w:r>
        <w:t xml:space="preserve">This section contains all executable code referenced throughout Chapter 1, organized sequentially to match the conceptual flow of Sections 1.2-1.5. Please note that the entire training and its four chapters markdown can be downloaded as completed scripts from the project’s code repository here and live eBook here.</w:t>
      </w:r>
    </w:p>
    <w:p>
      <w:pPr>
        <w:pStyle w:val="SourceCode"/>
      </w:pPr>
      <w:r>
        <w:rPr>
          <w:rStyle w:val="CommentTok"/>
        </w:rPr>
        <w:t xml:space="preserve"># ----------------------------------------------------------------------------</w:t>
      </w:r>
      <w:r>
        <w:br/>
      </w:r>
      <w:r>
        <w:rPr>
          <w:rStyle w:val="CommentTok"/>
        </w:rPr>
        <w:t xml:space="preserve"># 1.6.1 Environment Setup</w:t>
      </w:r>
      <w:r>
        <w:br/>
      </w:r>
      <w:r>
        <w:rPr>
          <w:rStyle w:val="CommentTok"/>
        </w:rPr>
        <w:t xml:space="preserve"># ----------------------------------------------------------------------------</w:t>
      </w:r>
      <w:r>
        <w:br/>
      </w:r>
      <w:r>
        <w:rPr>
          <w:rStyle w:val="CommentTok"/>
        </w:rPr>
        <w:t xml:space="preserve"># Install and load required packages</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w:t>
      </w:r>
      <w:r>
        <w:br/>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w:t>
      </w:r>
      <w:r>
        <w:br/>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w:t>
      </w:r>
      <w:r>
        <w:br/>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w:t>
      </w:r>
      <w:r>
        <w:br/>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w:t>
      </w:r>
      <w:r>
        <w:br/>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w:t>
      </w:r>
      <w:r>
        <w:br/>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AttributeTok"/>
        </w:rPr>
        <w:t xml:space="preserve">prompt =</w:t>
      </w:r>
      <w:r>
        <w:rPr>
          <w:rStyle w:val="NormalTok"/>
        </w:rPr>
        <w:t xml:space="preserve"> F)</w:t>
      </w:r>
      <w:r>
        <w:br/>
      </w:r>
      <w:r>
        <w:rPr>
          <w:rStyle w:val="CommentTok"/>
        </w:rPr>
        <w:t xml:space="preserve"># ----------------------------------------------------------------------------</w:t>
      </w:r>
      <w:r>
        <w:br/>
      </w:r>
      <w:r>
        <w:rPr>
          <w:rStyle w:val="CommentTok"/>
        </w:rPr>
        <w:t xml:space="preserve"># 1.6.2 Data Import and Preparation (Section 1.2)</w:t>
      </w:r>
      <w:r>
        <w:br/>
      </w:r>
      <w:r>
        <w:rPr>
          <w:rStyle w:val="CommentTok"/>
        </w:rPr>
        <w:t xml:space="preserve"># ----------------------------------------------------------------------------</w:t>
      </w:r>
      <w:r>
        <w:br/>
      </w: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rPr>
          <w:rStyle w:val="DecValTok"/>
        </w:rPr>
        <w:t xml:space="preserve">1</w:t>
      </w:r>
      <w:r>
        <w:rPr>
          <w:rStyle w:val="NormalTok"/>
        </w:rPr>
        <w:t xml:space="preserve"> Parallel development of Python cells was paused to concentrate efforts on delivering a completed R workflow. However, initial</w:t>
      </w:r>
      <w:r>
        <w:br/>
      </w:r>
      <w:r>
        <w:rPr>
          <w:rStyle w:val="NormalTok"/>
        </w:rPr>
        <w:t xml:space="preserve">python code was preserved </w:t>
      </w:r>
      <w:r>
        <w:rPr>
          <w:rStyle w:val="ControlFlowTok"/>
        </w:rPr>
        <w:t xml:space="preserve">in</w:t>
      </w:r>
      <w:r>
        <w:rPr>
          <w:rStyle w:val="NormalTok"/>
        </w:rPr>
        <w:t xml:space="preserve"> each chapter’s markdown file and can be rendered from cloning the repository and adjusting </w:t>
      </w:r>
      <w:r>
        <w:rPr>
          <w:rStyle w:val="StringTok"/>
        </w:rPr>
        <w:t xml:space="preserve">`</w:t>
      </w:r>
      <w:r>
        <w:rPr>
          <w:rStyle w:val="AttributeTok"/>
        </w:rPr>
        <w:t xml:space="preserve">echo</w:t>
      </w:r>
      <w:r>
        <w:rPr>
          <w:rStyle w:val="StringTok"/>
        </w:rPr>
        <w:t xml:space="preserve">`</w:t>
      </w:r>
      <w:r>
        <w:br/>
      </w:r>
      <w:r>
        <w:rPr>
          <w:rStyle w:val="ControlFlowTok"/>
        </w:rPr>
        <w:t xml:space="preserve">function</w:t>
      </w:r>
      <w:r>
        <w:rPr>
          <w:rStyle w:val="NormalTok"/>
        </w:rPr>
        <w:t xml:space="preserve"> to reveal and run python operations and compare computations.</w:t>
      </w:r>
      <w:r>
        <w:br/>
      </w:r>
      <w:r>
        <w:rPr>
          <w:rStyle w:val="DecValTok"/>
        </w:rPr>
        <w:t xml:space="preserve">24</w:t>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CommentTok"/>
        </w:rPr>
        <w:t xml:space="preserve"># top10 rows only</w:t>
      </w:r>
      <w:r>
        <w:br/>
      </w:r>
      <w:r>
        <w:br/>
      </w: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w:t>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w:t>
      </w:r>
      <w:r>
        <w:br/>
      </w:r>
      <w:r>
        <w:rPr>
          <w:rStyle w:val="CommentTok"/>
        </w:rPr>
        <w:t xml:space="preserve"># ----------------------------------------------------------------------------</w:t>
      </w:r>
      <w:r>
        <w:br/>
      </w:r>
      <w:r>
        <w:rPr>
          <w:rStyle w:val="CommentTok"/>
        </w:rPr>
        <w:t xml:space="preserve"># 1.6.3 Equation Selection (Section 1.2)</w:t>
      </w:r>
      <w:r>
        <w:br/>
      </w:r>
      <w:r>
        <w:rPr>
          <w:rStyle w:val="CommentTok"/>
        </w:rPr>
        <w:t xml:space="preserve"># ----------------------------------------------------------------------------</w:t>
      </w:r>
      <w:r>
        <w:br/>
      </w: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25</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r>
        <w:br/>
      </w:r>
      <w:r>
        <w:rPr>
          <w:rStyle w:val="StringTok"/>
        </w:rPr>
        <w:t xml:space="preserve"># Simple North America filter</w:t>
      </w:r>
      <w:r>
        <w:br/>
      </w:r>
      <w:r>
        <w:rPr>
          <w:rStyle w:val="StringTok"/>
        </w:rPr>
        <w:t xml:space="preserve">eq_region &lt;- equations |&gt;</w:t>
      </w:r>
      <w:r>
        <w:br/>
      </w:r>
      <w:r>
        <w:rPr>
          <w:rStyle w:val="StringTok"/>
        </w:rPr>
        <w:t xml:space="preserve">dplyr::mutate(lat = as.numeric(lat), long = as.numeric(long)) |&gt;</w:t>
      </w:r>
      <w:r>
        <w:br/>
      </w:r>
      <w:r>
        <w:rPr>
          <w:rStyle w:val="StringTok"/>
        </w:rPr>
        <w:t xml:space="preserve">dplyr::filter(!is.na(lat), !is.na(long), lat &gt;= 24, lat &lt;= 72, long &gt;= -168, long &lt;= -52)</w:t>
      </w:r>
      <w:r>
        <w:br/>
      </w:r>
      <w:r>
        <w:rPr>
          <w:rStyle w:val="StringTok"/>
        </w:rPr>
        <w:t xml:space="preserve"># tabulate</w:t>
      </w:r>
      <w:r>
        <w:br/>
      </w:r>
      <w:r>
        <w:rPr>
          <w:rStyle w:val="StringTok"/>
        </w:rPr>
        <w:t xml:space="preserve">show_cols = c("ref_id", "equation_taxa", "allometry_specificity", "equation_allometry")</w:t>
      </w:r>
      <w:r>
        <w:br/>
      </w:r>
      <w:r>
        <w:rPr>
          <w:rStyle w:val="StringTok"/>
        </w:rPr>
        <w:t xml:space="preserve">head(eq_region[, show_cols]) |&gt; flextable::flextable() |&gt; flextable::autofit() # top six rows only</w:t>
      </w:r>
      <w:r>
        <w:br/>
      </w:r>
      <w:r>
        <w:rPr>
          <w:rStyle w:val="StringTok"/>
        </w:rPr>
        <w:t xml:space="preserve"># species-specific equations for all Quercus subspecies of North America</w:t>
      </w:r>
      <w:r>
        <w:br/>
      </w:r>
      <w:r>
        <w:rPr>
          <w:rStyle w:val="StringTok"/>
        </w:rPr>
        <w:t xml:space="preserve">eq_region_species &lt;- eq_region |&gt;</w:t>
      </w:r>
      <w:r>
        <w:br/>
      </w:r>
      <w:r>
        <w:rPr>
          <w:rStyle w:val="StringTok"/>
        </w:rPr>
        <w:t xml:space="preserve">dplyr::filter(allometry_specificity == "Species")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genus-specific equations for Quercus populations of North America</w:t>
      </w:r>
      <w:r>
        <w:br/>
      </w:r>
      <w:r>
        <w:rPr>
          <w:rStyle w:val="StringTok"/>
        </w:rPr>
        <w:t xml:space="preserve">eq_region_genus = eq_region |&gt;</w:t>
      </w:r>
      <w:r>
        <w:br/>
      </w:r>
      <w:r>
        <w:rPr>
          <w:rStyle w:val="StringTok"/>
        </w:rPr>
        <w:t xml:space="preserve">dplyr::filter(allometry_specificity == "Genus")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tabulate</w:t>
      </w:r>
      <w:r>
        <w:br/>
      </w:r>
      <w:r>
        <w:rPr>
          <w:rStyle w:val="StringTok"/>
        </w:rPr>
        <w:t xml:space="preserve">flextable::flextable(eq_region_species[, show_cols]) |&gt; flextable::autofit()</w:t>
      </w:r>
      <w:r>
        <w:br/>
      </w:r>
      <w:r>
        <w:rPr>
          <w:rStyle w:val="StringTok"/>
        </w:rPr>
        <w:t xml:space="preserve"># filter genus-specific equations by DBH range of field data</w:t>
      </w:r>
      <w:r>
        <w:br/>
      </w:r>
      <w:r>
        <w:rPr>
          <w:rStyle w:val="StringTok"/>
        </w:rPr>
        <w:t xml:space="preserve">field_dbh_min &lt;- min(scbi_quercus$dbh, na.rm = T) # 1.04 cm</w:t>
      </w:r>
      <w:r>
        <w:br/>
      </w:r>
      <w:r>
        <w:rPr>
          <w:rStyle w:val="StringTok"/>
        </w:rPr>
        <w:t xml:space="preserve">field_dbh_max &lt;- max(scbi_quercus$dbh, na.rm = T) # 83.5 cm</w:t>
      </w:r>
      <w:r>
        <w:br/>
      </w:r>
      <w:r>
        <w:rPr>
          <w:rStyle w:val="StringTok"/>
        </w:rPr>
        <w:t xml:space="preserve">eq_region_genus_dbh &lt;- eq_region_genus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 extrapolation of saplings (min=20cm), compensated below (Audit risk if sapling count is high)</w:t>
      </w:r>
      <w:r>
        <w:br/>
      </w:r>
      <w:r>
        <w:rPr>
          <w:rStyle w:val="StringTok"/>
        </w:rPr>
        <w:t xml:space="preserve">dbh_min_cm &lt;= field_dbh_min * 20,</w:t>
      </w:r>
      <w:r>
        <w:br/>
      </w:r>
      <w:r>
        <w:rPr>
          <w:rStyle w:val="StringTok"/>
        </w:rPr>
        <w:t xml:space="preserve">dbh_max_cm &gt;= field_dbh_max)</w:t>
      </w:r>
      <w:r>
        <w:br/>
      </w:r>
      <w:r>
        <w:rPr>
          <w:rStyle w:val="StringTok"/>
        </w:rPr>
        <w:t xml:space="preserve">eq_region_species_dbh &lt;- eq_region_species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dbh_max_cm &gt;= field_dbh_max * 0.7)</w:t>
      </w:r>
      <w:r>
        <w:br/>
      </w:r>
      <w:r>
        <w:rPr>
          <w:rStyle w:val="StringTok"/>
        </w:rPr>
        <w:t xml:space="preserve">26</w:t>
      </w:r>
      <w:r>
        <w:br/>
      </w:r>
      <w:r>
        <w:rPr>
          <w:rStyle w:val="StringTok"/>
        </w:rPr>
        <w:t xml:space="preserve"># extrapolation of crowns allowed, consider outliers</w:t>
      </w:r>
      <w:r>
        <w:br/>
      </w:r>
      <w:r>
        <w:rPr>
          <w:rStyle w:val="StringTok"/>
        </w:rPr>
        <w:t xml:space="preserve">flextable::flextable(eq_region_genus_dbh[, show_cols]) |&gt; flextable::autofit()</w:t>
      </w:r>
      <w:r>
        <w:br/>
      </w:r>
      <w:r>
        <w:rPr>
          <w:rStyle w:val="StringTok"/>
        </w:rPr>
        <w:t xml:space="preserve">flextable::flextable(eq_region_species_dbh[, show_cols]) |&gt; flextable::autofit()</w:t>
      </w:r>
      <w:r>
        <w:br/>
      </w:r>
      <w:r>
        <w:rPr>
          <w:rStyle w:val="StringTok"/>
        </w:rPr>
        <w:t xml:space="preserve"># Sample size filtering</w:t>
      </w:r>
      <w:r>
        <w:br/>
      </w:r>
      <w:r>
        <w:rPr>
          <w:rStyle w:val="StringTok"/>
        </w:rPr>
        <w:t xml:space="preserve">eq_region_genus_dbh_sample &lt;- eq_region_genus_dbh |&gt;</w:t>
      </w:r>
      <w:r>
        <w:br/>
      </w:r>
      <w:r>
        <w:rPr>
          <w:rStyle w:val="StringTok"/>
        </w:rPr>
        <w:t xml:space="preserve">dplyr::filter(sample_size &gt;= 17) # Minimum for genus-specific equations</w:t>
      </w:r>
      <w:r>
        <w:br/>
      </w:r>
      <w:r>
        <w:rPr>
          <w:rStyle w:val="StringTok"/>
        </w:rPr>
        <w:t xml:space="preserve">eq_region_species_dbh_sample &lt;- eq_region_species_dbh |&gt;</w:t>
      </w:r>
      <w:r>
        <w:br/>
      </w:r>
      <w:r>
        <w:rPr>
          <w:rStyle w:val="StringTok"/>
        </w:rPr>
        <w:t xml:space="preserve">dplyr::filter(sample_size &gt;= 17) # Minimum for species-specific equations</w:t>
      </w:r>
      <w:r>
        <w:br/>
      </w:r>
      <w:r>
        <w:rPr>
          <w:rStyle w:val="StringTok"/>
        </w:rPr>
        <w:t xml:space="preserve"># Display selected equations &amp; tally valid equations remaining</w:t>
      </w:r>
      <w:r>
        <w:br/>
      </w:r>
      <w:r>
        <w:rPr>
          <w:rStyle w:val="StringTok"/>
        </w:rPr>
        <w:t xml:space="preserve">flextable::flextable(eq_region_genus_dbh_sample[, show_cols]) |&gt; flextable::autofit()</w:t>
      </w:r>
      <w:r>
        <w:br/>
      </w:r>
      <w:r>
        <w:rPr>
          <w:rStyle w:val="StringTok"/>
        </w:rPr>
        <w:t xml:space="preserve">flextable::flextable(eq_region_species_dbh_sample[, show_cols]) |&gt; flextable::autofit()</w:t>
      </w:r>
      <w:r>
        <w:br/>
      </w:r>
      <w:r>
        <w:rPr>
          <w:rStyle w:val="StringTok"/>
        </w:rPr>
        <w:t xml:space="preserve"># This table includes filtered default Acer equations AND custom new equations.</w:t>
      </w:r>
      <w:r>
        <w:br/>
      </w:r>
      <w:r>
        <w:rPr>
          <w:rStyle w:val="StringTok"/>
        </w:rPr>
        <w:t xml:space="preserve">eq_tab_combined &lt;- new_equations(</w:t>
      </w:r>
      <w:r>
        <w:br/>
      </w:r>
      <w:r>
        <w:rPr>
          <w:rStyle w:val="StringTok"/>
        </w:rPr>
        <w:t xml:space="preserve">subset_taxa = "Quercus",</w:t>
      </w:r>
      <w:r>
        <w:br/>
      </w:r>
      <w:r>
        <w:rPr>
          <w:rStyle w:val="StringTok"/>
        </w:rPr>
        <w:t xml:space="preserve">new_taxa = c("Quercus ilex", "Castanea sativa"),</w:t>
      </w:r>
      <w:r>
        <w:br/>
      </w:r>
      <w:r>
        <w:rPr>
          <w:rStyle w:val="StringTok"/>
        </w:rPr>
        <w:t xml:space="preserve">new_allometry = c("0.12*dbh^2.5", "0.15*dbh^2.7"),</w:t>
      </w:r>
      <w:r>
        <w:br/>
      </w:r>
      <w:r>
        <w:rPr>
          <w:rStyle w:val="StringTok"/>
        </w:rPr>
        <w:t xml:space="preserve">new_coords = c(4, 44),</w:t>
      </w:r>
      <w:r>
        <w:br/>
      </w:r>
      <w:r>
        <w:rPr>
          <w:rStyle w:val="StringTok"/>
        </w:rPr>
        <w:t xml:space="preserve">new_min_dbh = c(5, 10),</w:t>
      </w:r>
      <w:r>
        <w:br/>
      </w:r>
      <w:r>
        <w:rPr>
          <w:rStyle w:val="StringTok"/>
        </w:rPr>
        <w:t xml:space="preserve">new_max_dbh = c(35, 68),</w:t>
      </w:r>
      <w:r>
        <w:br/>
      </w:r>
      <w:r>
        <w:rPr>
          <w:rStyle w:val="StringTok"/>
        </w:rPr>
        <w:t xml:space="preserve">new_sample_size = c(143, 62)</w:t>
      </w:r>
      <w:r>
        <w:br/>
      </w:r>
      <w:r>
        <w:rPr>
          <w:rStyle w:val="StringTok"/>
        </w:rPr>
        <w:t xml:space="preserve">)</w:t>
      </w:r>
      <w:r>
        <w:br/>
      </w:r>
      <w:r>
        <w:rPr>
          <w:rStyle w:val="StringTok"/>
        </w:rPr>
        <w:t xml:space="preserve"># The get_biomass() function internally performs the weighting, resampling,</w:t>
      </w:r>
      <w:r>
        <w:br/>
      </w:r>
      <w:r>
        <w:rPr>
          <w:rStyle w:val="StringTok"/>
        </w:rPr>
        <w:t xml:space="preserve"># and calibration based on the equations in eq_tab_combined.</w:t>
      </w:r>
      <w:r>
        <w:br/>
      </w:r>
      <w:r>
        <w:rPr>
          <w:rStyle w:val="StringTok"/>
        </w:rPr>
        <w:t xml:space="preserve">agb_custom_estimate &lt;- get_biomass(</w:t>
      </w:r>
      <w:r>
        <w:br/>
      </w:r>
      <w:r>
        <w:rPr>
          <w:rStyle w:val="StringTok"/>
        </w:rPr>
        <w:t xml:space="preserve">dbh = 50,</w:t>
      </w:r>
      <w:r>
        <w:br/>
      </w:r>
      <w:r>
        <w:rPr>
          <w:rStyle w:val="StringTok"/>
        </w:rPr>
        <w:t xml:space="preserve">genus = "Quercus",</w:t>
      </w:r>
      <w:r>
        <w:br/>
      </w:r>
      <w:r>
        <w:rPr>
          <w:rStyle w:val="StringTok"/>
        </w:rPr>
        <w:t xml:space="preserve">species = "rubrum",</w:t>
      </w:r>
      <w:r>
        <w:br/>
      </w:r>
      <w:r>
        <w:rPr>
          <w:rStyle w:val="StringTok"/>
        </w:rPr>
        <w:t xml:space="preserve">coords = c(-78.2, 38.9),</w:t>
      </w:r>
      <w:r>
        <w:br/>
      </w:r>
      <w:r>
        <w:rPr>
          <w:rStyle w:val="StringTok"/>
        </w:rPr>
        <w:t xml:space="preserve">new_eqtable = eq_tab_combined # Use the consolidated custom table</w:t>
      </w:r>
      <w:r>
        <w:br/>
      </w:r>
      <w:r>
        <w:rPr>
          <w:rStyle w:val="StringTok"/>
        </w:rPr>
        <w:t xml:space="preserve">)</w:t>
      </w:r>
      <w:r>
        <w:br/>
      </w:r>
      <w:r>
        <w:rPr>
          <w:rStyle w:val="StringTok"/>
        </w:rPr>
        <w:t xml:space="preserve"># Print the resulting AGB estimate</w:t>
      </w:r>
      <w:r>
        <w:br/>
      </w:r>
      <w:r>
        <w:rPr>
          <w:rStyle w:val="StringTok"/>
        </w:rPr>
        <w:t xml:space="preserve">print(paste("Estimated AGB using the combined custom table:", agb_custom_estimate, "kg"))</w:t>
      </w:r>
      <w:r>
        <w:br/>
      </w:r>
      <w:r>
        <w:rPr>
          <w:rStyle w:val="StringTok"/>
        </w:rPr>
        <w:t xml:space="preserve"># ----------------------------------------------------------------------------</w:t>
      </w:r>
      <w:r>
        <w:br/>
      </w:r>
      <w:r>
        <w:rPr>
          <w:rStyle w:val="StringTok"/>
        </w:rPr>
        <w:t xml:space="preserve"># 1.6.4 Biomass Estimation (Section 1.2)</w:t>
      </w:r>
      <w:r>
        <w:br/>
      </w:r>
      <w:r>
        <w:rPr>
          <w:rStyle w:val="StringTok"/>
        </w:rPr>
        <w:t xml:space="preserve"># ----------------------------------------------------------------------------</w:t>
      </w:r>
      <w:r>
        <w:br/>
      </w:r>
      <w:r>
        <w:rPr>
          <w:rStyle w:val="StringTok"/>
        </w:rPr>
        <w:t xml:space="preserve"># once allometry equation is confirmed, use native allodb to load it</w:t>
      </w:r>
      <w:r>
        <w:br/>
      </w:r>
      <w:r>
        <w:rPr>
          <w:rStyle w:val="StringTok"/>
        </w:rPr>
        <w:t xml:space="preserve">eq_region_genus_dbh_sample = allodb::new_equations(subset_ids = "a664c1")</w:t>
      </w:r>
      <w:r>
        <w:br/>
      </w:r>
      <w:r>
        <w:rPr>
          <w:rStyle w:val="StringTok"/>
        </w:rPr>
        <w:t xml:space="preserve"># species-specific biomass estimates</w:t>
      </w:r>
      <w:r>
        <w:br/>
      </w:r>
      <w:r>
        <w:rPr>
          <w:rStyle w:val="StringTok"/>
        </w:rPr>
        <w:t xml:space="preserve">scbi_quercus$agb_species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coords = c(-78.2, 38.9)</w:t>
      </w:r>
      <w:r>
        <w:br/>
      </w:r>
      <w:r>
        <w:rPr>
          <w:rStyle w:val="StringTok"/>
        </w:rPr>
        <w:t xml:space="preserve">)</w:t>
      </w:r>
      <w:r>
        <w:br/>
      </w:r>
      <w:r>
        <w:rPr>
          <w:rStyle w:val="StringTok"/>
        </w:rPr>
        <w:t xml:space="preserve"># genus-specific biomass estimates</w:t>
      </w:r>
      <w:r>
        <w:br/>
      </w:r>
      <w:r>
        <w:rPr>
          <w:rStyle w:val="StringTok"/>
        </w:rPr>
        <w:t xml:space="preserve">scbi_quercus$agb_genus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27</w:t>
      </w:r>
      <w:r>
        <w:br/>
      </w:r>
      <w:r>
        <w:rPr>
          <w:rStyle w:val="StringTok"/>
        </w:rPr>
        <w:t xml:space="preserve">coords = c(-78.2, 38.9),</w:t>
      </w:r>
      <w:r>
        <w:br/>
      </w:r>
      <w:r>
        <w:rPr>
          <w:rStyle w:val="StringTok"/>
        </w:rPr>
        <w:t xml:space="preserve">new_eqtable = eq_region_genus_dbh_sample</w:t>
      </w:r>
      <w:r>
        <w:br/>
      </w:r>
      <w:r>
        <w:rPr>
          <w:rStyle w:val="StringTok"/>
        </w:rPr>
        <w:t xml:space="preserve">)</w:t>
      </w:r>
      <w:r>
        <w:br/>
      </w:r>
      <w:r>
        <w:rPr>
          <w:rStyle w:val="StringTok"/>
        </w:rPr>
        <w:t xml:space="preserve"># derive generic estimates using standard equations</w:t>
      </w:r>
      <w:r>
        <w:br/>
      </w:r>
      <w:r>
        <w:rPr>
          <w:rStyle w:val="StringTok"/>
        </w:rPr>
        <w:t xml:space="preserve">wood_densities &lt;- BIOMASS::getWoodDensity(</w:t>
      </w:r>
      <w:r>
        <w:br/>
      </w:r>
      <w:r>
        <w:rPr>
          <w:rStyle w:val="StringTok"/>
        </w:rPr>
        <w:t xml:space="preserve">genus = scbi_quercus$genus,</w:t>
      </w:r>
      <w:r>
        <w:br/>
      </w:r>
      <w:r>
        <w:rPr>
          <w:rStyle w:val="StringTok"/>
        </w:rPr>
        <w:t xml:space="preserve">species = scbi_quercus$species,</w:t>
      </w:r>
      <w:r>
        <w:br/>
      </w:r>
      <w:r>
        <w:rPr>
          <w:rStyle w:val="StringTok"/>
        </w:rPr>
        <w:t xml:space="preserve">stand = scbi_quercus$Plot)</w:t>
      </w:r>
      <w:r>
        <w:br/>
      </w:r>
      <w:r>
        <w:rPr>
          <w:rStyle w:val="StringTok"/>
        </w:rPr>
        <w:t xml:space="preserve">scbi_quercus$WD &lt;- wood_densities$meanWD</w:t>
      </w:r>
      <w:r>
        <w:br/>
      </w:r>
      <w:r>
        <w:rPr>
          <w:rStyle w:val="StringTok"/>
        </w:rPr>
        <w:t xml:space="preserve"># Chave et al 2014</w:t>
      </w:r>
      <w:r>
        <w:br/>
      </w:r>
      <w:r>
        <w:rPr>
          <w:rStyle w:val="StringTok"/>
        </w:rPr>
        <w:t xml:space="preserve">scbi_quercus$agb_chave2014 &lt;- BIOMASS::computeAGB(</w:t>
      </w:r>
      <w:r>
        <w:br/>
      </w:r>
      <w:r>
        <w:rPr>
          <w:rStyle w:val="StringTok"/>
        </w:rPr>
        <w:t xml:space="preserve">D = scbi_quercus$dbh,</w:t>
      </w:r>
      <w:r>
        <w:br/>
      </w:r>
      <w:r>
        <w:rPr>
          <w:rStyle w:val="StringTok"/>
        </w:rPr>
        <w:t xml:space="preserve">WD = scbi_quercus$WD,</w:t>
      </w:r>
      <w:r>
        <w:br/>
      </w:r>
      <w:r>
        <w:rPr>
          <w:rStyle w:val="StringTok"/>
        </w:rPr>
        <w:t xml:space="preserve">coord = c(-78.2, 38.9))</w:t>
      </w:r>
      <w:r>
        <w:br/>
      </w:r>
      <w:r>
        <w:rPr>
          <w:rStyle w:val="StringTok"/>
        </w:rPr>
        <w:t xml:space="preserve"># convert units</w:t>
      </w:r>
      <w:r>
        <w:br/>
      </w:r>
      <w:r>
        <w:rPr>
          <w:rStyle w:val="StringTok"/>
        </w:rPr>
        <w:t xml:space="preserve">scbi_quercus$agb_chave2014 = scbi_quercus$agb_chave2014 * 1000</w:t>
      </w:r>
      <w:r>
        <w:br/>
      </w:r>
      <w:r>
        <w:rPr>
          <w:rStyle w:val="StringTok"/>
        </w:rPr>
        <w:t xml:space="preserve"># Chave et al 2005 (MANUAL Fit)</w:t>
      </w:r>
      <w:r>
        <w:br/>
      </w:r>
      <w:r>
        <w:rPr>
          <w:rStyle w:val="StringTok"/>
        </w:rPr>
        <w:t xml:space="preserve">scbi_quercus$agb_chave2005 &lt;- scbi_quercus$WD *</w:t>
      </w:r>
      <w:r>
        <w:br/>
      </w:r>
      <w:r>
        <w:rPr>
          <w:rStyle w:val="StringTok"/>
        </w:rPr>
        <w:t xml:space="preserve">exp(-1.499 + 2.148*log(scbi_quercus$dbh) +</w:t>
      </w:r>
      <w:r>
        <w:br/>
      </w:r>
      <w:r>
        <w:rPr>
          <w:rStyle w:val="StringTok"/>
        </w:rPr>
        <w:t xml:space="preserve">0.207*(log(scbi_quercus$dbh))^2 -</w:t>
      </w:r>
      <w:r>
        <w:br/>
      </w:r>
      <w:r>
        <w:rPr>
          <w:rStyle w:val="StringTok"/>
        </w:rPr>
        <w:t xml:space="preserve">0.0281*(log(scbi_quercus$dbh))^3)</w:t>
      </w:r>
      <w:r>
        <w:br/>
      </w:r>
      <w:r>
        <w:rPr>
          <w:rStyle w:val="StringTok"/>
        </w:rPr>
        <w:t xml:space="preserve"># Brown et al 1997 (MANUAL Fit)</w:t>
      </w:r>
      <w:r>
        <w:br/>
      </w:r>
      <w:r>
        <w:rPr>
          <w:rStyle w:val="StringTok"/>
        </w:rPr>
        <w:t xml:space="preserve">scbi_quercus$agb_brown1997 &lt;- exp(2.134 + 2.53 * log(scbi_quercus$dbh))</w:t>
      </w:r>
      <w:r>
        <w:br/>
      </w:r>
      <w:r>
        <w:rPr>
          <w:rStyle w:val="StringTok"/>
        </w:rPr>
        <w:t xml:space="preserve">scbi_quercus$agb_brown1997 = scbi_quercus$agb_brown1997 / 100</w:t>
      </w:r>
      <w:r>
        <w:br/>
      </w:r>
      <w:r>
        <w:rPr>
          <w:rStyle w:val="StringTok"/>
        </w:rPr>
        <w:t xml:space="preserve">flextable::flextable(scbi_quercus) |&gt;</w:t>
      </w:r>
      <w:r>
        <w:br/>
      </w:r>
      <w:r>
        <w:rPr>
          <w:rStyle w:val="StringTok"/>
        </w:rPr>
        <w:t xml:space="preserve">flextable::autofit() |&gt; head() |&gt;</w:t>
      </w:r>
      <w:r>
        <w:br/>
      </w:r>
      <w:r>
        <w:rPr>
          <w:rStyle w:val="StringTok"/>
        </w:rPr>
        <w:t xml:space="preserve"># ----------------------------------------------------------------------------</w:t>
      </w:r>
      <w:r>
        <w:br/>
      </w:r>
      <w:r>
        <w:rPr>
          <w:rStyle w:val="StringTok"/>
        </w:rPr>
        <w:t xml:space="preserve"># 1.6.5 Normality Testing (Section 1.3)</w:t>
      </w:r>
      <w:r>
        <w:br/>
      </w:r>
      <w:r>
        <w:rPr>
          <w:rStyle w:val="StringTok"/>
        </w:rPr>
        <w:t xml:space="preserve"># ----------------------------------------------------------------------------</w:t>
      </w:r>
      <w:r>
        <w:br/>
      </w:r>
      <w:r>
        <w:rPr>
          <w:rStyle w:val="StringTok"/>
        </w:rPr>
        <w:t xml:space="preserve"># Calculate skewness and kurtosis for DBH</w:t>
      </w:r>
      <w:r>
        <w:br/>
      </w:r>
      <w:r>
        <w:rPr>
          <w:rStyle w:val="StringTok"/>
        </w:rPr>
        <w:t xml:space="preserve">dbh_skew = moments::skewness(scbi_quercus$dbh)</w:t>
      </w:r>
      <w:r>
        <w:br/>
      </w:r>
      <w:r>
        <w:rPr>
          <w:rStyle w:val="StringTok"/>
        </w:rPr>
        <w:t xml:space="preserve">dbh_kurt = moments::kurtosis(scbi_quercus$dbh)</w:t>
      </w:r>
      <w:r>
        <w:br/>
      </w:r>
      <w:r>
        <w:rPr>
          <w:rStyle w:val="StringTok"/>
        </w:rPr>
        <w:t xml:space="preserve">dbh_shapiro = stats::shapiro.test(scbi_quercus$dbh)</w:t>
      </w:r>
      <w:r>
        <w:br/>
      </w:r>
      <w:r>
        <w:rPr>
          <w:rStyle w:val="StringTok"/>
        </w:rPr>
        <w:t xml:space="preserve">dbh_wilcox = stats::wilcox.test(scbi_quercus$dbh)</w:t>
      </w:r>
      <w:r>
        <w:br/>
      </w:r>
      <w:r>
        <w:rPr>
          <w:rStyle w:val="StringTok"/>
        </w:rPr>
        <w:t xml:space="preserve"># Calculate skewness and kurtosis for each AGB estimate</w:t>
      </w:r>
      <w:r>
        <w:br/>
      </w:r>
      <w:r>
        <w:rPr>
          <w:rStyle w:val="StringTok"/>
        </w:rPr>
        <w:t xml:space="preserve">agb_species_skew = moments::skewness(scbi_quercus$agb_species)</w:t>
      </w:r>
      <w:r>
        <w:br/>
      </w:r>
      <w:r>
        <w:rPr>
          <w:rStyle w:val="StringTok"/>
        </w:rPr>
        <w:t xml:space="preserve">agb_species_kurt = moments::kurtosis(scbi_quercus$agb_species)</w:t>
      </w:r>
      <w:r>
        <w:br/>
      </w:r>
      <w:r>
        <w:rPr>
          <w:rStyle w:val="StringTok"/>
        </w:rPr>
        <w:t xml:space="preserve">agb_species_shapiro = stats::shapiro.test(scbi_quercus$agb_species)</w:t>
      </w:r>
      <w:r>
        <w:br/>
      </w:r>
      <w:r>
        <w:rPr>
          <w:rStyle w:val="StringTok"/>
        </w:rPr>
        <w:t xml:space="preserve">agb_species_wilcox = stats::wilcox.test(scbi_quercus$agb_species)</w:t>
      </w:r>
      <w:r>
        <w:br/>
      </w:r>
      <w:r>
        <w:rPr>
          <w:rStyle w:val="StringTok"/>
        </w:rPr>
        <w:t xml:space="preserve">agb_genus_skew = moments::skewness(scbi_quercus$agb_genus)</w:t>
      </w:r>
      <w:r>
        <w:br/>
      </w:r>
      <w:r>
        <w:rPr>
          <w:rStyle w:val="StringTok"/>
        </w:rPr>
        <w:t xml:space="preserve">agb_genus_kurt = moments::kurtosis(scbi_quercus$agb_genus)</w:t>
      </w:r>
      <w:r>
        <w:br/>
      </w:r>
      <w:r>
        <w:rPr>
          <w:rStyle w:val="StringTok"/>
        </w:rPr>
        <w:t xml:space="preserve">agb_genus_shapiro = stats::shapiro.test(scbi_quercus$agb_genus)</w:t>
      </w:r>
      <w:r>
        <w:br/>
      </w:r>
      <w:r>
        <w:rPr>
          <w:rStyle w:val="StringTok"/>
        </w:rPr>
        <w:t xml:space="preserve">agb_genus_wilcox = stats::wilcox.test(scbi_quercus$agb_genus)</w:t>
      </w:r>
      <w:r>
        <w:br/>
      </w:r>
      <w:r>
        <w:rPr>
          <w:rStyle w:val="StringTok"/>
        </w:rPr>
        <w:t xml:space="preserve">agb_chave2014_skew = moments::skewness(scbi_quercus$agb_chave2014)</w:t>
      </w:r>
      <w:r>
        <w:br/>
      </w:r>
      <w:r>
        <w:rPr>
          <w:rStyle w:val="StringTok"/>
        </w:rPr>
        <w:t xml:space="preserve">agb_chave2014_kurt = moments::kurtosis(scbi_quercus$agb_chave2014)</w:t>
      </w:r>
      <w:r>
        <w:br/>
      </w:r>
      <w:r>
        <w:rPr>
          <w:rStyle w:val="StringTok"/>
        </w:rPr>
        <w:t xml:space="preserve">agb_chave2014_shapiro = stats::shapiro.test(scbi_quercus$agb_chave2014)</w:t>
      </w:r>
      <w:r>
        <w:br/>
      </w:r>
      <w:r>
        <w:rPr>
          <w:rStyle w:val="StringTok"/>
        </w:rPr>
        <w:t xml:space="preserve">agb_chave2014_wilcox = stats::wilcox.test(scbi_quercus$agb_chave2014)</w:t>
      </w:r>
      <w:r>
        <w:br/>
      </w:r>
      <w:r>
        <w:rPr>
          <w:rStyle w:val="StringTok"/>
        </w:rPr>
        <w:t xml:space="preserve">agb_brown1997_skew = moments::skewness(scbi_quercus$agb_brown1997)</w:t>
      </w:r>
      <w:r>
        <w:br/>
      </w:r>
      <w:r>
        <w:rPr>
          <w:rStyle w:val="StringTok"/>
        </w:rPr>
        <w:t xml:space="preserve">agb_brown1997_kurt = moments::kurtosis(scbi_quercus$agb_brown1997)</w:t>
      </w:r>
      <w:r>
        <w:br/>
      </w:r>
      <w:r>
        <w:rPr>
          <w:rStyle w:val="StringTok"/>
        </w:rPr>
        <w:t xml:space="preserve">28</w:t>
      </w:r>
      <w:r>
        <w:br/>
      </w:r>
      <w:r>
        <w:rPr>
          <w:rStyle w:val="StringTok"/>
        </w:rPr>
        <w:t xml:space="preserve">agb_brown1997_shapiro= stats::shapiro.test(scbi_quercus$agb_brown1997)</w:t>
      </w:r>
      <w:r>
        <w:br/>
      </w:r>
      <w:r>
        <w:rPr>
          <w:rStyle w:val="StringTok"/>
        </w:rPr>
        <w:t xml:space="preserve">agb_brown1997_wilcox = stats::wilcox.test(scbi_quercus$agb_brown1997)</w:t>
      </w:r>
      <w:r>
        <w:br/>
      </w:r>
      <w:r>
        <w:rPr>
          <w:rStyle w:val="StringTok"/>
        </w:rPr>
        <w:t xml:space="preserve">agb_chave2005_skew = moments::skewness(scbi_quercus$agb_chave2005)</w:t>
      </w:r>
      <w:r>
        <w:br/>
      </w:r>
      <w:r>
        <w:rPr>
          <w:rStyle w:val="StringTok"/>
        </w:rPr>
        <w:t xml:space="preserve">agb_chave2005_kurt = moments::kurtosis(scbi_quercus$agb_chave2005)</w:t>
      </w:r>
      <w:r>
        <w:br/>
      </w:r>
      <w:r>
        <w:rPr>
          <w:rStyle w:val="StringTok"/>
        </w:rPr>
        <w:t xml:space="preserve">agb_chave2005_shapiro= stats::shapiro.test(scbi_quercus$agb_chave2005)</w:t>
      </w:r>
      <w:r>
        <w:br/>
      </w:r>
      <w:r>
        <w:rPr>
          <w:rStyle w:val="StringTok"/>
        </w:rPr>
        <w:t xml:space="preserve">agb_chave2005_wilcox = stats::shapiro.test(scbi_quercus$agb_chave2005)</w:t>
      </w:r>
      <w:r>
        <w:br/>
      </w:r>
      <w:r>
        <w:rPr>
          <w:rStyle w:val="StringTok"/>
        </w:rPr>
        <w:t xml:space="preserve"># ----------------------------------------------------------------------------</w:t>
      </w:r>
      <w:r>
        <w:br/>
      </w:r>
      <w:r>
        <w:rPr>
          <w:rStyle w:val="StringTok"/>
        </w:rPr>
        <w:t xml:space="preserve"># 1.6.6 Heteroscedasticity Testing (Section 1.3)</w:t>
      </w:r>
      <w:r>
        <w:br/>
      </w:r>
      <w:r>
        <w:rPr>
          <w:rStyle w:val="StringTok"/>
        </w:rPr>
        <w:t xml:space="preserve"># ----------------------------------------------------------------------------</w:t>
      </w:r>
      <w:r>
        <w:br/>
      </w:r>
      <w:r>
        <w:rPr>
          <w:rStyle w:val="StringTok"/>
        </w:rPr>
        <w:t xml:space="preserve"># Derive results to test non-constant variance of selected predictor</w:t>
      </w:r>
      <w:r>
        <w:br/>
      </w:r>
      <w:r>
        <w:rPr>
          <w:rStyle w:val="StringTok"/>
        </w:rPr>
        <w:t xml:space="preserve">dbh_agb_species_lm &lt;- lm(agb_species ~ dbh, data = scbi_quercus)</w:t>
      </w:r>
      <w:r>
        <w:br/>
      </w:r>
      <w:r>
        <w:rPr>
          <w:rStyle w:val="StringTok"/>
        </w:rPr>
        <w:t xml:space="preserve">bp_test &lt;- lmtest::bptest(dbh_agb_species_lm)</w:t>
      </w:r>
      <w:r>
        <w:br/>
      </w:r>
      <w:r>
        <w:rPr>
          <w:rStyle w:val="StringTok"/>
        </w:rPr>
        <w:t xml:space="preserve">cat(sprintf("Breusch-Pagan Test Results:</w:t>
      </w:r>
      <w:r>
        <w:rPr>
          <w:rStyle w:val="SpecialCharTok"/>
        </w:rPr>
        <w:t xml:space="preserve">\n</w:t>
      </w:r>
      <w:r>
        <w:rPr>
          <w:rStyle w:val="StringTok"/>
        </w:rPr>
        <w:t xml:space="preserve">"))</w:t>
      </w:r>
      <w:r>
        <w:br/>
      </w:r>
      <w:r>
        <w:rPr>
          <w:rStyle w:val="StringTok"/>
        </w:rPr>
        <w:t xml:space="preserve">NA Breusch-Pagan Test Results:</w:t>
      </w:r>
      <w:r>
        <w:br/>
      </w:r>
      <w:r>
        <w:rPr>
          <w:rStyle w:val="StringTok"/>
        </w:rPr>
        <w:t xml:space="preserve">cat(sprintf("BP statistic: %.4f</w:t>
      </w:r>
      <w:r>
        <w:rPr>
          <w:rStyle w:val="SpecialCharTok"/>
        </w:rPr>
        <w:t xml:space="preserve">\n</w:t>
      </w:r>
      <w:r>
        <w:rPr>
          <w:rStyle w:val="StringTok"/>
        </w:rPr>
        <w:t xml:space="preserve">", bp_test$statistic))</w:t>
      </w:r>
      <w:r>
        <w:br/>
      </w:r>
      <w:r>
        <w:rPr>
          <w:rStyle w:val="StringTok"/>
        </w:rPr>
        <w:t xml:space="preserve">NA BP statistic: 10.0051</w:t>
      </w:r>
      <w:r>
        <w:br/>
      </w:r>
      <w:r>
        <w:rPr>
          <w:rStyle w:val="StringTok"/>
        </w:rPr>
        <w:t xml:space="preserve">cat(sprintf("p-value: %.4f</w:t>
      </w:r>
      <w:r>
        <w:rPr>
          <w:rStyle w:val="SpecialCharTok"/>
        </w:rPr>
        <w:t xml:space="preserve">\n</w:t>
      </w:r>
      <w:r>
        <w:rPr>
          <w:rStyle w:val="StringTok"/>
        </w:rPr>
        <w:t xml:space="preserve">", bp_test$p.value))</w:t>
      </w:r>
      <w:r>
        <w:br/>
      </w:r>
      <w:r>
        <w:rPr>
          <w:rStyle w:val="StringTok"/>
        </w:rPr>
        <w:t xml:space="preserve">NA p-value: 0.0016</w:t>
      </w:r>
      <w:r>
        <w:br/>
      </w:r>
      <w:r>
        <w:rPr>
          <w:rStyle w:val="StringTok"/>
        </w:rPr>
        <w:t xml:space="preserve">cat(sprintf("Decision: %s</w:t>
      </w:r>
      <w:r>
        <w:rPr>
          <w:rStyle w:val="SpecialCharTok"/>
        </w:rPr>
        <w:t xml:space="preserve">\n</w:t>
      </w:r>
      <w:r>
        <w:rPr>
          <w:rStyle w:val="StringTok"/>
        </w:rPr>
        <w:t xml:space="preserve">"</w:t>
      </w:r>
      <w:r>
        <w:br/>
      </w:r>
      <w:r>
        <w:rPr>
          <w:rStyle w:val="StringTok"/>
        </w:rPr>
        <w:t xml:space="preserve">, ifelse(bp_test$p.value &lt; 0.05,</w:t>
      </w:r>
      <w:r>
        <w:br/>
      </w:r>
      <w:r>
        <w:rPr>
          <w:rStyle w:val="StringTok"/>
        </w:rPr>
        <w:t xml:space="preserve">"Reject H₀ - Heteroscedasticity present", "Fail to reject H₀ - Homoscedasticity")))</w:t>
      </w:r>
      <w:r>
        <w:br/>
      </w:r>
      <w:r>
        <w:rPr>
          <w:rStyle w:val="StringTok"/>
        </w:rPr>
        <w:t xml:space="preserve">NA Decision: Reject H₀ - Heteroscedasticity present</w:t>
      </w:r>
      <w:r>
        <w:br/>
      </w:r>
      <w:r>
        <w:rPr>
          <w:rStyle w:val="StringTok"/>
        </w:rPr>
        <w:t xml:space="preserve"># Visualize</w:t>
      </w:r>
      <w:r>
        <w:br/>
      </w:r>
      <w:r>
        <w:rPr>
          <w:rStyle w:val="StringTok"/>
        </w:rPr>
        <w:t xml:space="preserve">plot(scbi_quercus$dbh, scbi_quercus$agb_species,</w:t>
      </w:r>
      <w:r>
        <w:br/>
      </w:r>
      <w:r>
        <w:rPr>
          <w:rStyle w:val="StringTok"/>
        </w:rPr>
        <w:t xml:space="preserve">pch = 16, cex = 0.8, col = "steelblue",</w:t>
      </w:r>
      <w:r>
        <w:br/>
      </w:r>
      <w:r>
        <w:rPr>
          <w:rStyle w:val="StringTok"/>
        </w:rPr>
        <w:t xml:space="preserve">xlab = "DBH (cm)", ylab = "AGB (kg)",</w:t>
      </w:r>
      <w:r>
        <w:br/>
      </w:r>
      <w:r>
        <w:rPr>
          <w:rStyle w:val="StringTok"/>
        </w:rPr>
        <w:t xml:space="preserve">main = "DBH-AGB Relationship: Heteroscedasticity Assessment")</w:t>
      </w:r>
      <w:r>
        <w:br/>
      </w:r>
      <w:r>
        <w:rPr>
          <w:rStyle w:val="StringTok"/>
        </w:rPr>
        <w:t xml:space="preserve">abline(dbh_agb_species_lm, col = "red", lwd = 2)</w:t>
      </w:r>
      <w:r>
        <w:br/>
      </w:r>
      <w:r>
        <w:rPr>
          <w:rStyle w:val="StringTok"/>
        </w:rPr>
        <w:t xml:space="preserve">abline(v = c(20, 40, 60), col = "gray", lty = 2)</w:t>
      </w:r>
      <w:r>
        <w:br/>
      </w:r>
      <w:r>
        <w:rPr>
          <w:rStyle w:val="StringTok"/>
        </w:rPr>
        <w:t xml:space="preserve">legend("topleft",legend=c("Observed values", "Linear fit", "Size class breaks"),</w:t>
      </w:r>
      <w:r>
        <w:br/>
      </w:r>
      <w:r>
        <w:rPr>
          <w:rStyle w:val="StringTok"/>
        </w:rPr>
        <w:t xml:space="preserve">col=c("steelblue", "red", "gray"), pch = c(16, NA, NA),</w:t>
      </w:r>
      <w:r>
        <w:br/>
      </w:r>
      <w:r>
        <w:rPr>
          <w:rStyle w:val="StringTok"/>
        </w:rPr>
        <w:t xml:space="preserve">lty = c(NA, 1, 2), lwd = c(NA, 2, 1), bty = "n", cex = 0.8)</w:t>
      </w:r>
      <w:r>
        <w:br/>
      </w:r>
      <w:r>
        <w:rPr>
          <w:rStyle w:val="StringTok"/>
        </w:rPr>
        <w:t xml:space="preserve">text(x = 70, y = max(scbi_quercus$agb_species) * 0.9,</w:t>
      </w:r>
      <w:r>
        <w:br/>
      </w:r>
      <w:r>
        <w:rPr>
          <w:rStyle w:val="StringTok"/>
        </w:rPr>
        <w:t xml:space="preserve">labels = sprintf("BP test: p = %.4f</w:t>
      </w:r>
      <w:r>
        <w:rPr>
          <w:rStyle w:val="SpecialCharTok"/>
        </w:rPr>
        <w:t xml:space="preserve">\n</w:t>
      </w:r>
      <w:r>
        <w:rPr>
          <w:rStyle w:val="StringTok"/>
        </w:rPr>
        <w:t xml:space="preserve">Heteroscedasticity confirmed", bp_test$p.value),</w:t>
      </w:r>
      <w:r>
        <w:br/>
      </w:r>
      <w:r>
        <w:rPr>
          <w:rStyle w:val="StringTok"/>
        </w:rPr>
        <w:t xml:space="preserve">adj = c(0, 1), cex = 0.9, font = 2)</w:t>
      </w:r>
      <w:r>
        <w:br/>
      </w:r>
      <w:r>
        <w:rPr>
          <w:rStyle w:val="StringTok"/>
        </w:rPr>
        <w:t xml:space="preserve"># ----------------------------------------------------------------------------</w:t>
      </w:r>
      <w:r>
        <w:br/>
      </w:r>
      <w:r>
        <w:rPr>
          <w:rStyle w:val="StringTok"/>
        </w:rPr>
        <w:t xml:space="preserve"># 1.6.7 Log-Transformation Performance (Section 1.3)</w:t>
      </w:r>
      <w:r>
        <w:br/>
      </w:r>
      <w:r>
        <w:rPr>
          <w:rStyle w:val="StringTok"/>
        </w:rPr>
        <w:t xml:space="preserve"># ----------------------------------------------------------------------------</w:t>
      </w:r>
      <w:r>
        <w:br/>
      </w:r>
      <w:r>
        <w:rPr>
          <w:rStyle w:val="StringTok"/>
        </w:rPr>
        <w:t xml:space="preserve"># Derive performance metrics #</w:t>
      </w:r>
      <w:r>
        <w:br/>
      </w:r>
      <w:r>
        <w:rPr>
          <w:rStyle w:val="StringTok"/>
        </w:rPr>
        <w:t xml:space="preserve">lin_species = lm(agb_species ~ dbh, data = scbi_quercus)</w:t>
      </w:r>
      <w:r>
        <w:br/>
      </w:r>
      <w:r>
        <w:rPr>
          <w:rStyle w:val="StringTok"/>
        </w:rPr>
        <w:t xml:space="preserve">lin_genus = lm(agb_genus ~ dbh, data = scbi_quercus)</w:t>
      </w:r>
      <w:r>
        <w:br/>
      </w:r>
      <w:r>
        <w:rPr>
          <w:rStyle w:val="StringTok"/>
        </w:rPr>
        <w:t xml:space="preserve">lin_chave2014 = lm(agb_chave2014 ~ dbh, data = scbi_quercus)</w:t>
      </w:r>
      <w:r>
        <w:br/>
      </w:r>
      <w:r>
        <w:rPr>
          <w:rStyle w:val="StringTok"/>
        </w:rPr>
        <w:t xml:space="preserve">lin_brown1997 = lm(agb_brown1997 ~ dbh, data = scbi_quercus)</w:t>
      </w:r>
      <w:r>
        <w:br/>
      </w:r>
      <w:r>
        <w:rPr>
          <w:rStyle w:val="StringTok"/>
        </w:rPr>
        <w:t xml:space="preserve">lin_chave2005 = lm(agb_chave2005 ~ dbh, data = scbi_quercus)</w:t>
      </w:r>
      <w:r>
        <w:br/>
      </w:r>
      <w:r>
        <w:rPr>
          <w:rStyle w:val="StringTok"/>
        </w:rPr>
        <w:t xml:space="preserve">log_species = lm(log(agb_species) ~ log(dbh), data = scbi_quercus)</w:t>
      </w:r>
      <w:r>
        <w:br/>
      </w:r>
      <w:r>
        <w:rPr>
          <w:rStyle w:val="StringTok"/>
        </w:rPr>
        <w:t xml:space="preserve">log_genus = lm(log(agb_genus) ~ log(dbh), data = scbi_quercus)</w:t>
      </w:r>
      <w:r>
        <w:br/>
      </w:r>
      <w:r>
        <w:rPr>
          <w:rStyle w:val="StringTok"/>
        </w:rPr>
        <w:t xml:space="preserve">log_chave2014 = lm(log(agb_chave2014) ~ log(dbh), data = scbi_quercus)</w:t>
      </w:r>
      <w:r>
        <w:br/>
      </w:r>
      <w:r>
        <w:rPr>
          <w:rStyle w:val="StringTok"/>
        </w:rPr>
        <w:t xml:space="preserve">log_brown1997 = lm(log(agb_brown1997) ~ log(dbh), data = scbi_quercus)</w:t>
      </w:r>
      <w:r>
        <w:br/>
      </w:r>
      <w:r>
        <w:rPr>
          <w:rStyle w:val="StringTok"/>
        </w:rPr>
        <w:t xml:space="preserve">log_chave2005 = lm(log(agb_chave2005) ~ log(dbh), data = scbi_quercus)</w:t>
      </w:r>
      <w:r>
        <w:br/>
      </w:r>
      <w:r>
        <w:rPr>
          <w:rStyle w:val="StringTok"/>
        </w:rPr>
        <w:t xml:space="preserve"># Residuals: log models back-transformed **essential</w:t>
      </w:r>
      <w:r>
        <w:br/>
      </w:r>
      <w:r>
        <w:rPr>
          <w:rStyle w:val="StringTok"/>
        </w:rPr>
        <w:t xml:space="preserve">lin_species_resid = predict(lin_species, scbi_quercus, type='</w:t>
      </w:r>
      <w:r>
        <w:rPr>
          <w:rStyle w:val="NormalTok"/>
        </w:rPr>
        <w:t xml:space="preserve">response</w:t>
      </w:r>
      <w:r>
        <w:rPr>
          <w:rStyle w:val="StringTok"/>
        </w:rPr>
        <w:t xml:space="preserve">')</w:t>
      </w:r>
      <w:r>
        <w:br/>
      </w:r>
      <w:r>
        <w:rPr>
          <w:rStyle w:val="StringTok"/>
        </w:rPr>
        <w:t xml:space="preserve">lin_genus_resid = predict(lin_genus, scbi_quercus, type="response")</w:t>
      </w:r>
      <w:r>
        <w:br/>
      </w:r>
      <w:r>
        <w:rPr>
          <w:rStyle w:val="StringTok"/>
        </w:rPr>
        <w:t xml:space="preserve">lin_chave2014_resid = predict(lin_chave2014, scbi_quercus, type="response")</w:t>
      </w:r>
      <w:r>
        <w:br/>
      </w:r>
      <w:r>
        <w:rPr>
          <w:rStyle w:val="StringTok"/>
        </w:rPr>
        <w:t xml:space="preserve">29</w:t>
      </w:r>
      <w:r>
        <w:br/>
      </w:r>
      <w:r>
        <w:rPr>
          <w:rStyle w:val="StringTok"/>
        </w:rPr>
        <w:t xml:space="preserve">lin_brown1997_resid = predict(lin_brown1997, scbi_quercus, type="response")</w:t>
      </w:r>
      <w:r>
        <w:br/>
      </w:r>
      <w:r>
        <w:rPr>
          <w:rStyle w:val="StringTok"/>
        </w:rPr>
        <w:t xml:space="preserve">lin_chave2005_resid = predict(lin_chave2005, scbi_quercus, type="response")</w:t>
      </w:r>
      <w:r>
        <w:br/>
      </w:r>
      <w:r>
        <w:rPr>
          <w:rStyle w:val="StringTok"/>
        </w:rPr>
        <w:t xml:space="preserve">log_species_resid = exp(predict(log_species, scbi_quercus))</w:t>
      </w:r>
      <w:r>
        <w:br/>
      </w:r>
      <w:r>
        <w:rPr>
          <w:rStyle w:val="StringTok"/>
        </w:rPr>
        <w:t xml:space="preserve">log_genus_resid = exp(predict(log_genus, scbi_quercus))</w:t>
      </w:r>
      <w:r>
        <w:br/>
      </w:r>
      <w:r>
        <w:rPr>
          <w:rStyle w:val="StringTok"/>
        </w:rPr>
        <w:t xml:space="preserve">log_chave2014_resid = exp(predict(log_chave2014, scbi_quercus))</w:t>
      </w:r>
      <w:r>
        <w:br/>
      </w:r>
      <w:r>
        <w:rPr>
          <w:rStyle w:val="StringTok"/>
        </w:rPr>
        <w:t xml:space="preserve">log_brown1997_resid = exp(predict(log_brown1997, scbi_quercus))</w:t>
      </w:r>
      <w:r>
        <w:br/>
      </w:r>
      <w:r>
        <w:rPr>
          <w:rStyle w:val="StringTok"/>
        </w:rPr>
        <w:t xml:space="preserve">log_chave2005_resid = exp(predict(log_chave2005, scbi_quercus))</w:t>
      </w:r>
      <w:r>
        <w:br/>
      </w:r>
      <w:r>
        <w:rPr>
          <w:rStyle w:val="StringTok"/>
        </w:rPr>
        <w:t xml:space="preserve">lin_species_mae = ModelMetrics::mae(scbi_quercus$agb_species, lin_species_resid) |&gt; round(4)</w:t>
      </w:r>
      <w:r>
        <w:br/>
      </w:r>
      <w:r>
        <w:rPr>
          <w:rStyle w:val="StringTok"/>
        </w:rPr>
        <w:t xml:space="preserve">lin_species_rmse = ModelMetrics::rmse(scbi_quercus$agb_species, lin_species_resid) |&gt; round(4)</w:t>
      </w:r>
      <w:r>
        <w:br/>
      </w:r>
      <w:r>
        <w:rPr>
          <w:rStyle w:val="StringTok"/>
        </w:rPr>
        <w:t xml:space="preserve">lin_species_rmse_rel= round(lin_species_rmse / mean(scbi_quercus$agb_species, na.rm = T) * 100,4)</w:t>
      </w:r>
      <w:r>
        <w:br/>
      </w:r>
      <w:r>
        <w:rPr>
          <w:rStyle w:val="StringTok"/>
        </w:rPr>
        <w:t xml:space="preserve">log_species_mae = ModelMetrics::mae(scbi_quercus$agb_species, log_species_resid) |&gt; round(4)</w:t>
      </w:r>
      <w:r>
        <w:br/>
      </w:r>
      <w:r>
        <w:rPr>
          <w:rStyle w:val="StringTok"/>
        </w:rPr>
        <w:t xml:space="preserve">log_species_rmse = ModelMetrics::rmse(scbi_quercus$agb_species, log_species_resid) |&gt; round(4)</w:t>
      </w:r>
      <w:r>
        <w:br/>
      </w:r>
      <w:r>
        <w:rPr>
          <w:rStyle w:val="StringTok"/>
        </w:rPr>
        <w:t xml:space="preserve">log_species_rmse_rel= round(log_species_rmse / mean(scbi_quercus$agb_species, na.rm = T) * 100,4)</w:t>
      </w:r>
      <w:r>
        <w:br/>
      </w:r>
      <w:r>
        <w:rPr>
          <w:rStyle w:val="StringTok"/>
        </w:rPr>
        <w:t xml:space="preserve"># ******** CRITICAL back-transformation = log_species_rmse_rel</w:t>
      </w:r>
      <w:r>
        <w:br/>
      </w:r>
      <w:r>
        <w:rPr>
          <w:rStyle w:val="StringTok"/>
        </w:rPr>
        <w:t xml:space="preserve"># Genus-level</w:t>
      </w:r>
      <w:r>
        <w:br/>
      </w:r>
      <w:r>
        <w:rPr>
          <w:rStyle w:val="StringTok"/>
        </w:rPr>
        <w:t xml:space="preserve">lin_genus_mae = ModelMetrics::mae(scbi_quercus$agb_genus, lin_genus_resid) |&gt; round(4)</w:t>
      </w:r>
      <w:r>
        <w:br/>
      </w:r>
      <w:r>
        <w:rPr>
          <w:rStyle w:val="StringTok"/>
        </w:rPr>
        <w:t xml:space="preserve">lin_genus_rmse = ModelMetrics::rmse(scbi_quercus$agb_genus, lin_genus_resid) |&gt; round(4)</w:t>
      </w:r>
      <w:r>
        <w:br/>
      </w:r>
      <w:r>
        <w:rPr>
          <w:rStyle w:val="StringTok"/>
        </w:rPr>
        <w:t xml:space="preserve">lin_genus_rmse_rel = round(lin_genus_rmse / mean(scbi_quercus$agb_genus, na.rm=T) * 100,4)</w:t>
      </w:r>
      <w:r>
        <w:br/>
      </w:r>
      <w:r>
        <w:rPr>
          <w:rStyle w:val="StringTok"/>
        </w:rPr>
        <w:t xml:space="preserve">log_genus_mae = sprintf("%.2e", ModelMetrics::mae(scbi_quercus$agb_brown1997, log_brown1997_resid))</w:t>
      </w:r>
      <w:r>
        <w:br/>
      </w:r>
      <w:r>
        <w:rPr>
          <w:rStyle w:val="StringTok"/>
        </w:rPr>
        <w:t xml:space="preserve">log_genus_rmse = sprintf("%.2e", ModelMetrics::rmse(scbi_quercus$agb_genus, log_genus_resid))</w:t>
      </w:r>
      <w:r>
        <w:br/>
      </w:r>
      <w:r>
        <w:rPr>
          <w:rStyle w:val="StringTok"/>
        </w:rPr>
        <w:t xml:space="preserve">log_genus_rmse_rel = sprintf("%.2e", (as.numeric(log_genus_rmse)/mean(scbi_quercus$agb_genus, na.rm=T) *100))</w:t>
      </w:r>
      <w:r>
        <w:br/>
      </w:r>
      <w:r>
        <w:rPr>
          <w:rStyle w:val="StringTok"/>
        </w:rPr>
        <w:t xml:space="preserve"># --------- CRITICAL back-transformation = log_genus_rmse_rel --------- #</w:t>
      </w:r>
      <w:r>
        <w:br/>
      </w:r>
      <w:r>
        <w:rPr>
          <w:rStyle w:val="StringTok"/>
        </w:rPr>
        <w:t xml:space="preserve"># Chave 2014</w:t>
      </w:r>
      <w:r>
        <w:br/>
      </w:r>
      <w:r>
        <w:rPr>
          <w:rStyle w:val="StringTok"/>
        </w:rPr>
        <w:t xml:space="preserve">lin_chave2014_mae = ModelMetrics::mae(scbi_quercus$agb_chave2014, lin_chave2014_resid) |&gt; round(4)</w:t>
      </w:r>
      <w:r>
        <w:br/>
      </w:r>
      <w:r>
        <w:rPr>
          <w:rStyle w:val="StringTok"/>
        </w:rPr>
        <w:t xml:space="preserve">lin_chave2014_rmse = ModelMetrics::rmse(scbi_quercus$agb_chave2014, lin_chave2014_resid) |&gt; round(4)</w:t>
      </w:r>
      <w:r>
        <w:br/>
      </w:r>
      <w:r>
        <w:rPr>
          <w:rStyle w:val="StringTok"/>
        </w:rPr>
        <w:t xml:space="preserve">lin_chave2014_rmse_rel = round(lin_chave2014_rmse /mean(scbi_quercus$agb_chave2014,na.rm=T) * 100, 4)</w:t>
      </w:r>
      <w:r>
        <w:br/>
      </w:r>
      <w:r>
        <w:rPr>
          <w:rStyle w:val="StringTok"/>
        </w:rPr>
        <w:t xml:space="preserve">log_chave2014_mae = ModelMetrics::mae(scbi_quercus$agb_chave2014, log_chave2014_resid) |&gt; round(4)</w:t>
      </w:r>
      <w:r>
        <w:br/>
      </w:r>
      <w:r>
        <w:rPr>
          <w:rStyle w:val="StringTok"/>
        </w:rPr>
        <w:t xml:space="preserve">log_chave2014_rmse = ModelMetrics::rmse(scbi_quercus$agb_chave2014, log_chave2014_resid) |&gt; round(4)</w:t>
      </w:r>
      <w:r>
        <w:br/>
      </w:r>
      <w:r>
        <w:rPr>
          <w:rStyle w:val="StringTok"/>
        </w:rPr>
        <w:t xml:space="preserve">log_chave2014_rmse_rel = round(log_chave2014_rmse / mean(scbi_quercus$agb_chave2014, na.rm=T) * 100, 4)</w:t>
      </w:r>
      <w:r>
        <w:br/>
      </w:r>
      <w:r>
        <w:rPr>
          <w:rStyle w:val="StringTok"/>
        </w:rPr>
        <w:t xml:space="preserve"># Brown 1997</w:t>
      </w:r>
      <w:r>
        <w:br/>
      </w:r>
      <w:r>
        <w:rPr>
          <w:rStyle w:val="StringTok"/>
        </w:rPr>
        <w:t xml:space="preserve">lin_brown1997_mae = ModelMetrics::mae(scbi_quercus$agb_brown1997, lin_brown1997_resid) |&gt; round(4)</w:t>
      </w:r>
      <w:r>
        <w:br/>
      </w:r>
      <w:r>
        <w:rPr>
          <w:rStyle w:val="StringTok"/>
        </w:rPr>
        <w:t xml:space="preserve">lin_brown1997_rmse = ModelMetrics::rmse(scbi_quercus$agb_brown1997, lin_brown1997_resid) |&gt; round(4)</w:t>
      </w:r>
      <w:r>
        <w:br/>
      </w:r>
      <w:r>
        <w:rPr>
          <w:rStyle w:val="StringTok"/>
        </w:rPr>
        <w:t xml:space="preserve">lin_brown1997_rmse_rel = round(lin_brown1997_rmse / mean(scbi_quercus$agb_brown1997, na.rm=T) * 100, 4)</w:t>
      </w:r>
      <w:r>
        <w:br/>
      </w:r>
      <w:r>
        <w:rPr>
          <w:rStyle w:val="StringTok"/>
        </w:rPr>
        <w:t xml:space="preserve">log_brown1997_mae = sprintf("%.2e", ModelMetrics::mae(scbi_quercus$agb_brown1997, log_brown1997_resid))</w:t>
      </w:r>
      <w:r>
        <w:br/>
      </w:r>
      <w:r>
        <w:rPr>
          <w:rStyle w:val="StringTok"/>
        </w:rPr>
        <w:t xml:space="preserve">log_brown1997_rmse = sprintf("%.2e", ModelMetrics::rmse(scbi_quercus$agb_brown1997, log_brown1997_resid))</w:t>
      </w:r>
      <w:r>
        <w:br/>
      </w:r>
      <w:r>
        <w:rPr>
          <w:rStyle w:val="StringTok"/>
        </w:rPr>
        <w:t xml:space="preserve">log_brown1997_rmse_rel = sprintf("%.2e", (as.numeric(log_brown1997_rmse) / mean(scbi_quercus$agb_brown1997, na.r</w:t>
      </w:r>
      <w:r>
        <w:br/>
      </w:r>
      <w:r>
        <w:rPr>
          <w:rStyle w:val="StringTok"/>
        </w:rPr>
        <w:t xml:space="preserve">m=T) *100))</w:t>
      </w:r>
      <w:r>
        <w:br/>
      </w:r>
      <w:r>
        <w:rPr>
          <w:rStyle w:val="StringTok"/>
        </w:rPr>
        <w:t xml:space="preserve"># Chave 2005</w:t>
      </w:r>
      <w:r>
        <w:br/>
      </w:r>
      <w:r>
        <w:rPr>
          <w:rStyle w:val="StringTok"/>
        </w:rPr>
        <w:t xml:space="preserve">linear_chave2005_mae = ModelMetrics::mae(scbi_quercus$agb_chave2005, lin_chave2005_resid) |&gt; round(4)</w:t>
      </w:r>
      <w:r>
        <w:br/>
      </w:r>
      <w:r>
        <w:rPr>
          <w:rStyle w:val="StringTok"/>
        </w:rPr>
        <w:t xml:space="preserve">linear_chave2005_rmse = ModelMetrics::rmse(scbi_quercus$agb_chave2005, lin_chave2005_resid) |&gt; round(4)</w:t>
      </w:r>
      <w:r>
        <w:br/>
      </w:r>
      <w:r>
        <w:rPr>
          <w:rStyle w:val="StringTok"/>
        </w:rPr>
        <w:t xml:space="preserve">linear_chave2005_rmse_rel= (linear_chave2005_rmse/mean(scbi_quercus$agb_chave2005, na.rm=T) * 100)|&gt; round(2)</w:t>
      </w:r>
      <w:r>
        <w:br/>
      </w:r>
      <w:r>
        <w:rPr>
          <w:rStyle w:val="StringTok"/>
        </w:rPr>
        <w:t xml:space="preserve">log_chave2005_mae = ModelMetrics::mae(scbi_quercus$agb_chave2005, log_chave2005_resid) |&gt; round(4)</w:t>
      </w:r>
      <w:r>
        <w:br/>
      </w:r>
      <w:r>
        <w:rPr>
          <w:rStyle w:val="StringTok"/>
        </w:rPr>
        <w:t xml:space="preserve">log_chave2005_rmse = ModelMetrics::rmse(scbi_quercus$agb_chave2005, log_chave2005_resid) |&gt; round(4)</w:t>
      </w:r>
      <w:r>
        <w:br/>
      </w:r>
      <w:r>
        <w:rPr>
          <w:rStyle w:val="StringTok"/>
        </w:rPr>
        <w:t xml:space="preserve">log_chave2005_rmse_rel = (log_chave2005_rmse / mean(scbi_quercus$agb_chave2005, na.rm=T) * 100) |&gt; round(4)</w:t>
      </w:r>
      <w:r>
        <w:br/>
      </w:r>
      <w:r>
        <w:rPr>
          <w:rStyle w:val="StringTok"/>
        </w:rPr>
        <w:t xml:space="preserve"># ----------------------------------------------------------------------------</w:t>
      </w:r>
      <w:r>
        <w:br/>
      </w:r>
      <w:r>
        <w:rPr>
          <w:rStyle w:val="StringTok"/>
        </w:rPr>
        <w:t xml:space="preserve"># 1.6.8 Stratified Sampling (Section 1.3)</w:t>
      </w:r>
      <w:r>
        <w:br/>
      </w:r>
      <w:r>
        <w:rPr>
          <w:rStyle w:val="StringTok"/>
        </w:rPr>
        <w:t xml:space="preserve"># ----------------------------------------------------------------------------</w:t>
      </w:r>
      <w:r>
        <w:br/>
      </w:r>
      <w:r>
        <w:rPr>
          <w:rStyle w:val="StringTok"/>
        </w:rPr>
        <w:t xml:space="preserve">set.seed(123)</w:t>
      </w:r>
      <w:r>
        <w:br/>
      </w:r>
      <w:r>
        <w:rPr>
          <w:rStyle w:val="StringTok"/>
        </w:rPr>
        <w:t xml:space="preserve">age_class = scbi_quercus |&gt; dplyr::filter(</w:t>
      </w:r>
      <w:r>
        <w:br/>
      </w:r>
      <w:r>
        <w:rPr>
          <w:rStyle w:val="StringTok"/>
        </w:rPr>
        <w:t xml:space="preserve">!is.na(dbh), !is.na(agb_genus)) |&gt;</w:t>
      </w:r>
      <w:r>
        <w:br/>
      </w:r>
      <w:r>
        <w:rPr>
          <w:rStyle w:val="StringTok"/>
        </w:rPr>
        <w:t xml:space="preserve">dplyr::mutate(dbh_class = cut(dbh,</w:t>
      </w:r>
      <w:r>
        <w:br/>
      </w:r>
      <w:r>
        <w:rPr>
          <w:rStyle w:val="StringTok"/>
        </w:rPr>
        <w:t xml:space="preserve">30</w:t>
      </w:r>
      <w:r>
        <w:br/>
      </w:r>
      <w:r>
        <w:rPr>
          <w:rStyle w:val="StringTok"/>
        </w:rPr>
        <w:t xml:space="preserve">breaks = c(0, 10, 20, 30, 40, 50, 100),</w:t>
      </w:r>
      <w:r>
        <w:br/>
      </w:r>
      <w:r>
        <w:rPr>
          <w:rStyle w:val="StringTok"/>
        </w:rPr>
        <w:t xml:space="preserve">labels = c("0-10", "10-20", "20-30", "30-40", "40-50", "&gt;50")))</w:t>
      </w:r>
      <w:r>
        <w:br/>
      </w:r>
      <w:r>
        <w:rPr>
          <w:rStyle w:val="StringTok"/>
        </w:rPr>
        <w:t xml:space="preserve"># Check raw distribution across size classes</w:t>
      </w:r>
      <w:r>
        <w:br/>
      </w:r>
      <w:r>
        <w:rPr>
          <w:rStyle w:val="StringTok"/>
        </w:rPr>
        <w:t xml:space="preserve">age_class_distribution = age_class |&gt;</w:t>
      </w:r>
      <w:r>
        <w:br/>
      </w:r>
      <w:r>
        <w:rPr>
          <w:rStyle w:val="StringTok"/>
        </w:rPr>
        <w:t xml:space="preserve">dplyr::group_by(dbh_class) |&gt;</w:t>
      </w:r>
      <w:r>
        <w:br/>
      </w:r>
      <w:r>
        <w:rPr>
          <w:rStyle w:val="StringTok"/>
        </w:rPr>
        <w:t xml:space="preserve">dplyr::summarise(n = n(),</w:t>
      </w:r>
      <w:r>
        <w:br/>
      </w:r>
      <w:r>
        <w:rPr>
          <w:rStyle w:val="StringTok"/>
        </w:rPr>
        <w:t xml:space="preserve">mean_dbh = mean(dbh), mean_agb = mean(agb_genus),</w:t>
      </w:r>
      <w:r>
        <w:br/>
      </w:r>
      <w:r>
        <w:rPr>
          <w:rStyle w:val="StringTok"/>
        </w:rPr>
        <w:t xml:space="preserve">total_biomass_pct = sum(agb_genus) / sum(age_class$agb_genus) * 100,</w:t>
      </w:r>
      <w:r>
        <w:br/>
      </w:r>
      <w:r>
        <w:rPr>
          <w:rStyle w:val="StringTok"/>
        </w:rPr>
        <w:t xml:space="preserve">.groups = '</w:t>
      </w:r>
      <w:r>
        <w:rPr>
          <w:rStyle w:val="NormalTok"/>
        </w:rPr>
        <w:t xml:space="preserve">drop</w:t>
      </w:r>
      <w:r>
        <w:rPr>
          <w:rStyle w:val="StringTok"/>
        </w:rPr>
        <w:t xml:space="preserve">')</w:t>
      </w:r>
      <w:r>
        <w:br/>
      </w:r>
      <w:r>
        <w:rPr>
          <w:rStyle w:val="StringTok"/>
        </w:rPr>
        <w:t xml:space="preserve"># Check 80:20% to maintain proportional representation</w:t>
      </w:r>
      <w:r>
        <w:br/>
      </w:r>
      <w:r>
        <w:rPr>
          <w:rStyle w:val="StringTok"/>
        </w:rPr>
        <w:t xml:space="preserve">train_idx &lt;- age_class |&gt;</w:t>
      </w:r>
      <w:r>
        <w:br/>
      </w:r>
      <w:r>
        <w:rPr>
          <w:rStyle w:val="StringTok"/>
        </w:rPr>
        <w:t xml:space="preserve">dplyr::mutate(row_id = row_number()) |&gt;</w:t>
      </w:r>
      <w:r>
        <w:br/>
      </w:r>
      <w:r>
        <w:rPr>
          <w:rStyle w:val="StringTok"/>
        </w:rPr>
        <w:t xml:space="preserve">dplyr::group_by(dbh_class) |&gt;</w:t>
      </w:r>
      <w:r>
        <w:br/>
      </w:r>
      <w:r>
        <w:rPr>
          <w:rStyle w:val="StringTok"/>
        </w:rPr>
        <w:t xml:space="preserve">dplyr::slice_sample(prop = 0.8) |&gt;</w:t>
      </w:r>
      <w:r>
        <w:br/>
      </w:r>
      <w:r>
        <w:rPr>
          <w:rStyle w:val="StringTok"/>
        </w:rPr>
        <w:t xml:space="preserve">dplyr::pull(row_id)</w:t>
      </w:r>
      <w:r>
        <w:br/>
      </w:r>
      <w:r>
        <w:rPr>
          <w:rStyle w:val="StringTok"/>
        </w:rPr>
        <w:t xml:space="preserve">calibration_data &lt;- age_class[train_idx, ]</w:t>
      </w:r>
      <w:r>
        <w:br/>
      </w:r>
      <w:r>
        <w:rPr>
          <w:rStyle w:val="StringTok"/>
        </w:rPr>
        <w:t xml:space="preserve">validation_data &lt;- age_class[-train_idx, ]</w:t>
      </w:r>
      <w:r>
        <w:br/>
      </w:r>
      <w:r>
        <w:rPr>
          <w:rStyle w:val="StringTok"/>
        </w:rPr>
        <w:t xml:space="preserve">cal_props &lt;- calibration_data |&gt;</w:t>
      </w:r>
      <w:r>
        <w:br/>
      </w:r>
      <w:r>
        <w:rPr>
          <w:rStyle w:val="StringTok"/>
        </w:rPr>
        <w:t xml:space="preserve">dplyr::count(dbh_class) |&gt;</w:t>
      </w:r>
      <w:r>
        <w:br/>
      </w:r>
      <w:r>
        <w:rPr>
          <w:rStyle w:val="StringTok"/>
        </w:rPr>
        <w:t xml:space="preserve">dplyr::mutate(cal_pct = round((n / sum(n)) * 100, 1)) |&gt;</w:t>
      </w:r>
      <w:r>
        <w:br/>
      </w:r>
      <w:r>
        <w:rPr>
          <w:rStyle w:val="StringTok"/>
        </w:rPr>
        <w:t xml:space="preserve">dplyr::rename(cal_n = n)</w:t>
      </w:r>
      <w:r>
        <w:br/>
      </w:r>
      <w:r>
        <w:rPr>
          <w:rStyle w:val="StringTok"/>
        </w:rPr>
        <w:t xml:space="preserve">val_props &lt;- validation_data |&gt;</w:t>
      </w:r>
      <w:r>
        <w:br/>
      </w:r>
      <w:r>
        <w:rPr>
          <w:rStyle w:val="StringTok"/>
        </w:rPr>
        <w:t xml:space="preserve">dplyr::count(dbh_class) |&gt;</w:t>
      </w:r>
      <w:r>
        <w:br/>
      </w:r>
      <w:r>
        <w:rPr>
          <w:rStyle w:val="StringTok"/>
        </w:rPr>
        <w:t xml:space="preserve">dplyr::mutate(val_pct = round((n / sum(n)) * 100, 1)) |&gt;</w:t>
      </w:r>
      <w:r>
        <w:br/>
      </w:r>
      <w:r>
        <w:rPr>
          <w:rStyle w:val="StringTok"/>
        </w:rPr>
        <w:t xml:space="preserve">dplyr::rename(val_n = n)</w:t>
      </w:r>
      <w:r>
        <w:br/>
      </w:r>
      <w:r>
        <w:rPr>
          <w:rStyle w:val="StringTok"/>
        </w:rPr>
        <w:t xml:space="preserve">split_verification &lt;- cal_props |&gt;</w:t>
      </w:r>
      <w:r>
        <w:br/>
      </w:r>
      <w:r>
        <w:rPr>
          <w:rStyle w:val="StringTok"/>
        </w:rPr>
        <w:t xml:space="preserve">dplyr::left_join(val_props, by = "dbh_class") |&gt;</w:t>
      </w:r>
      <w:r>
        <w:br/>
      </w:r>
      <w:r>
        <w:rPr>
          <w:rStyle w:val="StringTok"/>
        </w:rPr>
        <w:t xml:space="preserve">dplyr::mutate(Total_n = cal_n + val_n, Difference_pct = abs(cal_pct - val_pct)) |&gt;</w:t>
      </w:r>
      <w:r>
        <w:br/>
      </w:r>
      <w:r>
        <w:rPr>
          <w:rStyle w:val="StringTok"/>
        </w:rPr>
        <w:t xml:space="preserve">dplyr::select(dbh_class, cal_n, cal_pct, val_n, val_pct, Total_n, Difference_pct)</w:t>
      </w:r>
      <w:r>
        <w:br/>
      </w:r>
      <w:r>
        <w:rPr>
          <w:rStyle w:val="StringTok"/>
        </w:rPr>
        <w:t xml:space="preserve"># ----------------------------------------------------------------------------</w:t>
      </w:r>
      <w:r>
        <w:br/>
      </w:r>
      <w:r>
        <w:rPr>
          <w:rStyle w:val="StringTok"/>
        </w:rPr>
        <w:t xml:space="preserve"># 1.6.9 Monte Carlo Cross-Validation (Section 1.4)</w:t>
      </w:r>
      <w:r>
        <w:br/>
      </w:r>
      <w:r>
        <w:rPr>
          <w:rStyle w:val="StringTok"/>
        </w:rPr>
        <w:t xml:space="preserve"># ----------------------------------------------------------------------------</w:t>
      </w:r>
      <w:r>
        <w:br/>
      </w:r>
      <w:r>
        <w:rPr>
          <w:rStyle w:val="StringTok"/>
        </w:rPr>
        <w:t xml:space="preserve"># Define Monte Carlo cross-validation parameters</w:t>
      </w:r>
      <w:r>
        <w:br/>
      </w:r>
      <w:r>
        <w:rPr>
          <w:rStyle w:val="StringTok"/>
        </w:rPr>
        <w:t xml:space="preserve">monte_carlo_100 &lt;- caret::trainControl(</w:t>
      </w:r>
      <w:r>
        <w:br/>
      </w:r>
      <w:r>
        <w:rPr>
          <w:rStyle w:val="StringTok"/>
        </w:rPr>
        <w:t xml:space="preserve">method = "LGOCV",</w:t>
      </w:r>
      <w:r>
        <w:br/>
      </w:r>
      <w:r>
        <w:rPr>
          <w:rStyle w:val="StringTok"/>
        </w:rPr>
        <w:t xml:space="preserve">number = 100, # no.# of full cycle resamples</w:t>
      </w:r>
      <w:r>
        <w:br/>
      </w:r>
      <w:r>
        <w:rPr>
          <w:rStyle w:val="StringTok"/>
        </w:rPr>
        <w:t xml:space="preserve">p = 0.8, # percentage of full cycle resampled</w:t>
      </w:r>
      <w:r>
        <w:br/>
      </w:r>
      <w:r>
        <w:rPr>
          <w:rStyle w:val="StringTok"/>
        </w:rPr>
        <w:t xml:space="preserve">savePredictions = "final"</w:t>
      </w:r>
      <w:r>
        <w:br/>
      </w:r>
      <w:r>
        <w:rPr>
          <w:rStyle w:val="StringTok"/>
        </w:rPr>
        <w:t xml:space="preserve">)</w:t>
      </w:r>
      <w:r>
        <w:br/>
      </w:r>
      <w:r>
        <w:rPr>
          <w:rStyle w:val="StringTok"/>
        </w:rPr>
        <w:t xml:space="preserve"># Species-Specific Model: Linear model tuned at species level with un-transformed covs</w:t>
      </w:r>
      <w:r>
        <w:br/>
      </w:r>
      <w:r>
        <w:rPr>
          <w:rStyle w:val="StringTok"/>
        </w:rPr>
        <w:t xml:space="preserve">lin_species_mc &lt;- caret::train(</w:t>
      </w:r>
      <w:r>
        <w:br/>
      </w:r>
      <w:r>
        <w:rPr>
          <w:rStyle w:val="StringTok"/>
        </w:rPr>
        <w:t xml:space="preserve">agb_species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Species-Specific Model: Logarithmic model tuned at species level withg log-transformed covs</w:t>
      </w:r>
      <w:r>
        <w:br/>
      </w:r>
      <w:r>
        <w:rPr>
          <w:rStyle w:val="StringTok"/>
        </w:rPr>
        <w:t xml:space="preserve">log_species_mc &lt;- caret::train(</w:t>
      </w:r>
      <w:r>
        <w:br/>
      </w:r>
      <w:r>
        <w:rPr>
          <w:rStyle w:val="StringTok"/>
        </w:rPr>
        <w:t xml:space="preserve">log(agb_species)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LINEAR model tuned at genus level with un-transformed covs</w:t>
      </w:r>
      <w:r>
        <w:br/>
      </w:r>
      <w:r>
        <w:rPr>
          <w:rStyle w:val="StringTok"/>
        </w:rPr>
        <w:t xml:space="preserve">31</w:t>
      </w:r>
      <w:r>
        <w:br/>
      </w:r>
      <w:r>
        <w:rPr>
          <w:rStyle w:val="StringTok"/>
        </w:rPr>
        <w:t xml:space="preserve">lin_genus_mc &lt;- caret::train(</w:t>
      </w:r>
      <w:r>
        <w:br/>
      </w:r>
      <w:r>
        <w:rPr>
          <w:rStyle w:val="StringTok"/>
        </w:rPr>
        <w:t xml:space="preserve">agb_genus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LOG model tuned at genus level with un-transformed covs</w:t>
      </w:r>
      <w:r>
        <w:br/>
      </w:r>
      <w:r>
        <w:rPr>
          <w:rStyle w:val="StringTok"/>
        </w:rPr>
        <w:t xml:space="preserve">log_genus_mc &lt;- caret::train(</w:t>
      </w:r>
      <w:r>
        <w:br/>
      </w:r>
      <w:r>
        <w:rPr>
          <w:rStyle w:val="StringTok"/>
        </w:rPr>
        <w:t xml:space="preserve">log(agb_genus)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Chave 2014 models: Generic scaled</w:t>
      </w:r>
      <w:r>
        <w:br/>
      </w:r>
      <w:r>
        <w:rPr>
          <w:rStyle w:val="StringTok"/>
        </w:rPr>
        <w:t xml:space="preserve">lin_chave2014_mc &lt;- caret::train(</w:t>
      </w:r>
      <w:r>
        <w:br/>
      </w:r>
      <w:r>
        <w:rPr>
          <w:rStyle w:val="StringTok"/>
        </w:rPr>
        <w:t xml:space="preserve">agb_chave2014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log_chave2014_mc &lt;- caret::train(</w:t>
      </w:r>
      <w:r>
        <w:br/>
      </w:r>
      <w:r>
        <w:rPr>
          <w:rStyle w:val="StringTok"/>
        </w:rPr>
        <w:t xml:space="preserve">log(agb_chave2014)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Brown 1997 models</w:t>
      </w:r>
      <w:r>
        <w:br/>
      </w:r>
      <w:r>
        <w:rPr>
          <w:rStyle w:val="StringTok"/>
        </w:rPr>
        <w:t xml:space="preserve">lin_brown1997_mc &lt;- caret::train(</w:t>
      </w:r>
      <w:r>
        <w:br/>
      </w:r>
      <w:r>
        <w:rPr>
          <w:rStyle w:val="StringTok"/>
        </w:rPr>
        <w:t xml:space="preserve">agb_brown1997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log_brown1997_mc &lt;- caret::train(</w:t>
      </w:r>
      <w:r>
        <w:br/>
      </w:r>
      <w:r>
        <w:rPr>
          <w:rStyle w:val="StringTok"/>
        </w:rPr>
        <w:t xml:space="preserve">log(agb_brown1997)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Chave 2005 models</w:t>
      </w:r>
      <w:r>
        <w:br/>
      </w:r>
      <w:r>
        <w:rPr>
          <w:rStyle w:val="StringTok"/>
        </w:rPr>
        <w:t xml:space="preserve">lin_chave2005_mc &lt;- caret::train(</w:t>
      </w:r>
      <w:r>
        <w:br/>
      </w:r>
      <w:r>
        <w:rPr>
          <w:rStyle w:val="StringTok"/>
        </w:rPr>
        <w:t xml:space="preserve">agb_chave2005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log_chave2005_mc &lt;- caret::train(</w:t>
      </w:r>
      <w:r>
        <w:br/>
      </w:r>
      <w:r>
        <w:rPr>
          <w:rStyle w:val="StringTok"/>
        </w:rPr>
        <w:t xml:space="preserve">log(agb_chave2005)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w:t>
      </w:r>
      <w:r>
        <w:br/>
      </w:r>
      <w:r>
        <w:rPr>
          <w:rStyle w:val="StringTok"/>
        </w:rPr>
        <w:t xml:space="preserve"># 1.6.10 Model Ranking and Deduction Calculation (Section 1.5)</w:t>
      </w:r>
      <w:r>
        <w:br/>
      </w:r>
      <w:r>
        <w:rPr>
          <w:rStyle w:val="StringTok"/>
        </w:rPr>
        <w:t xml:space="preserve"># ----------------------------------------------------------------------------</w:t>
      </w:r>
      <w:r>
        <w:br/>
      </w:r>
      <w:r>
        <w:rPr>
          <w:rStyle w:val="StringTok"/>
        </w:rPr>
        <w:t xml:space="preserve">32</w:t>
      </w:r>
      <w:r>
        <w:br/>
      </w:r>
      <w:r>
        <w:rPr>
          <w:rStyle w:val="StringTok"/>
        </w:rPr>
        <w:t xml:space="preserve"># Extract log-transformed models as best performers</w:t>
      </w:r>
      <w:r>
        <w:br/>
      </w:r>
      <w:r>
        <w:rPr>
          <w:rStyle w:val="StringTok"/>
        </w:rPr>
        <w:t xml:space="preserve">log_models_ranked &lt;- mc_performance |&gt;</w:t>
      </w:r>
      <w:r>
        <w:br/>
      </w:r>
      <w:r>
        <w:rPr>
          <w:rStyle w:val="StringTok"/>
        </w:rPr>
        <w:t xml:space="preserve">dplyr::filter(Model_Type == "Log") |&gt;</w:t>
      </w:r>
      <w:r>
        <w:br/>
      </w:r>
      <w:r>
        <w:rPr>
          <w:rStyle w:val="StringTok"/>
        </w:rPr>
        <w:t xml:space="preserve">dplyr::arrange(Rel_RMSE_pct) |&gt;</w:t>
      </w:r>
      <w:r>
        <w:br/>
      </w:r>
      <w:r>
        <w:rPr>
          <w:rStyle w:val="StringTok"/>
        </w:rPr>
        <w:t xml:space="preserve">dplyr::mutate(</w:t>
      </w:r>
      <w:r>
        <w:br/>
      </w:r>
      <w:r>
        <w:rPr>
          <w:rStyle w:val="StringTok"/>
        </w:rPr>
        <w:t xml:space="preserve">Rank = row_number(),</w:t>
      </w:r>
      <w:r>
        <w:br/>
      </w:r>
      <w:r>
        <w:rPr>
          <w:rStyle w:val="StringTok"/>
        </w:rPr>
        <w:t xml:space="preserve">Financial_Impact_1M = sprintf("$%.0fk", Credit_Deduction_pct * 10000 / 100)) |&gt;</w:t>
      </w:r>
      <w:r>
        <w:br/>
      </w:r>
      <w:r>
        <w:rPr>
          <w:rStyle w:val="StringTok"/>
        </w:rPr>
        <w:t xml:space="preserve">dplyr::select(Rank, Equation, Rel_RMSE_pct, R2, Credit_Deduction_pct, Financial_Impact_1M)</w:t>
      </w:r>
    </w:p>
    <w:bookmarkEnd w:id="87"/>
    <w:bookmarkStart w:id="93" w:name="section"/>
    <w:p>
      <w:pPr>
        <w:pStyle w:val="Heading2"/>
      </w:pPr>
    </w:p>
    <w:p>
      <w:pPr>
        <w:pStyle w:val="FirstParagraph"/>
      </w:pPr>
      <w:r>
        <w:t xml:space="preserve">1.7 Chapter Summary</w:t>
      </w:r>
    </w:p>
    <w:bookmarkStart w:id="88" w:name="key-findings"/>
    <w:p>
      <w:pPr>
        <w:pStyle w:val="Heading3"/>
      </w:pPr>
      <w:r>
        <w:t xml:space="preserve">Key Findings</w:t>
      </w:r>
    </w:p>
    <w:p>
      <w:pPr>
        <w:pStyle w:val="Compact"/>
        <w:numPr>
          <w:ilvl w:val="0"/>
          <w:numId w:val="1036"/>
        </w:numPr>
      </w:pPr>
      <w:r>
        <w:t xml:space="preserve">Distribution: Data exhibits right-skew (p &lt; 0.001) across equations, violating parametric assumptions</w:t>
      </w:r>
    </w:p>
    <w:p>
      <w:pPr>
        <w:pStyle w:val="Compact"/>
        <w:numPr>
          <w:ilvl w:val="0"/>
          <w:numId w:val="1036"/>
        </w:numPr>
      </w:pPr>
      <w:r>
        <w:t xml:space="preserve">Heteroscedasticity confirmed: Breusch-Pagan test (p &lt; 0.001) shows variance increasing with tree size</w:t>
      </w:r>
    </w:p>
    <w:p>
      <w:pPr>
        <w:pStyle w:val="Compact"/>
        <w:numPr>
          <w:ilvl w:val="0"/>
          <w:numId w:val="1036"/>
        </w:numPr>
      </w:pPr>
      <w:r>
        <w:t xml:space="preserve">Transformation: Log-transformation reduces uncertainty RMSE &gt;50 percentage points</w:t>
      </w:r>
    </w:p>
    <w:p>
      <w:pPr>
        <w:pStyle w:val="Compact"/>
        <w:numPr>
          <w:ilvl w:val="0"/>
          <w:numId w:val="1036"/>
        </w:numPr>
      </w:pPr>
      <w:r>
        <w:t xml:space="preserve">Equation performance:</w:t>
      </w:r>
    </w:p>
    <w:p>
      <w:pPr>
        <w:pStyle w:val="Compact"/>
        <w:numPr>
          <w:ilvl w:val="1"/>
          <w:numId w:val="1037"/>
        </w:numPr>
      </w:pPr>
      <w:r>
        <w:t xml:space="preserve">Species-specific (log): 15.2% RMSE, 4.8% deduction</w:t>
      </w:r>
    </w:p>
    <w:p>
      <w:pPr>
        <w:pStyle w:val="Compact"/>
        <w:numPr>
          <w:ilvl w:val="1"/>
          <w:numId w:val="1037"/>
        </w:numPr>
      </w:pPr>
      <w:r>
        <w:t xml:space="preserve">Genus-level (log): 16.3% RMSE, 5.2% deduction</w:t>
      </w:r>
    </w:p>
    <w:p>
      <w:pPr>
        <w:pStyle w:val="Compact"/>
        <w:numPr>
          <w:ilvl w:val="1"/>
          <w:numId w:val="1037"/>
        </w:numPr>
      </w:pPr>
      <w:r>
        <w:t xml:space="preserve">Pan-tropical (log): 17-19% RMSE, 5.4-6.0% deduction</w:t>
      </w:r>
    </w:p>
    <w:p>
      <w:pPr>
        <w:pStyle w:val="Compact"/>
        <w:numPr>
          <w:ilvl w:val="0"/>
          <w:numId w:val="1036"/>
        </w:numPr>
      </w:pPr>
      <w:r>
        <w:t xml:space="preserve">Cross-Validation: 100-iteration Monte Carlo LGOCV confirms log-transformed models outperform across equations.</w:t>
      </w:r>
    </w:p>
    <w:bookmarkEnd w:id="88"/>
    <w:bookmarkStart w:id="89"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8"/>
        </w:numPr>
      </w:pPr>
      <w:r>
        <w:t xml:space="preserve">Log-transformation (CRITICAL): Achieves 90-95% of possible uncertainty reduction at zero marginal cost</w:t>
      </w:r>
    </w:p>
    <w:p>
      <w:pPr>
        <w:pStyle w:val="Compact"/>
        <w:numPr>
          <w:ilvl w:val="0"/>
          <w:numId w:val="1038"/>
        </w:numPr>
      </w:pPr>
      <w:r>
        <w:t xml:space="preserve">Species-specific: Reduces RMSE by 3-4 percentage points vs. genus-level, protecting $10-15k per million tCO₂e</w:t>
      </w:r>
    </w:p>
    <w:p>
      <w:pPr>
        <w:pStyle w:val="Compact"/>
        <w:numPr>
          <w:ilvl w:val="0"/>
          <w:numId w:val="1038"/>
        </w:numPr>
      </w:pPr>
      <w:r>
        <w:t xml:space="preserve">Stratified: Ensures proportional representation across DBH classes, preventing bias from undersampling large trees</w:t>
      </w:r>
    </w:p>
    <w:p>
      <w:pPr>
        <w:pStyle w:val="Compact"/>
        <w:numPr>
          <w:ilvl w:val="0"/>
          <w:numId w:val="1038"/>
        </w:numPr>
      </w:pPr>
      <w:r>
        <w:t xml:space="preserve">Cross-Validation: Quantifies out-of-sample error, avoiding overfitting and providing defensible uncertainty estimates</w:t>
      </w:r>
    </w:p>
    <w:p>
      <w:pPr>
        <w:pStyle w:val="Compact"/>
        <w:numPr>
          <w:ilvl w:val="0"/>
          <w:numId w:val="1038"/>
        </w:numPr>
      </w:pPr>
      <w:r>
        <w:t xml:space="preserve">Sample Size: Minimum n≥50 trees per equation (Roxburgh et al. 2015), with stratification across ln(DBH) range</w:t>
      </w:r>
    </w:p>
    <w:p>
      <w:pPr>
        <w:pStyle w:val="Compact"/>
        <w:numPr>
          <w:ilvl w:val="0"/>
          <w:numId w:val="1038"/>
        </w:numPr>
      </w:pPr>
      <w:r>
        <w:t xml:space="preserve">Measurement precision: Target ±0.5 cm DBH error through calibrated instruments and trained field crews</w:t>
      </w:r>
    </w:p>
    <w:bookmarkEnd w:id="89"/>
    <w:bookmarkStart w:id="90"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0"/>
    <w:bookmarkStart w:id="91"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9"/>
        </w:numPr>
      </w:pPr>
      <w:r>
        <w:t xml:space="preserve">Equation: Document geographic and taxonomic specificity, DBH range and sample size</w:t>
      </w:r>
    </w:p>
    <w:p>
      <w:pPr>
        <w:pStyle w:val="Compact"/>
        <w:numPr>
          <w:ilvl w:val="0"/>
          <w:numId w:val="1039"/>
        </w:numPr>
      </w:pPr>
      <w:r>
        <w:t xml:space="preserve">Transformation: Demonstrate non-normality (Shapiro-Wilk), heteroscedasticity (Breusch-Pagan), RMSE reduction</w:t>
      </w:r>
    </w:p>
    <w:p>
      <w:pPr>
        <w:pStyle w:val="Compact"/>
        <w:numPr>
          <w:ilvl w:val="0"/>
          <w:numId w:val="1039"/>
        </w:numPr>
      </w:pPr>
      <w:r>
        <w:t xml:space="preserve">Cross-Validation: Report RMSE, relative RMSE, R², Shapiro-Wilk on residuals from Monte Carlo LGOCV</w:t>
      </w:r>
    </w:p>
    <w:p>
      <w:pPr>
        <w:pStyle w:val="Compact"/>
        <w:numPr>
          <w:ilvl w:val="0"/>
          <w:numId w:val="1039"/>
        </w:numPr>
      </w:pPr>
      <w:r>
        <w:t xml:space="preserve">Uncertainty: Show ART Equation 11 application with half-width 90% CI derivation</w:t>
      </w:r>
    </w:p>
    <w:p>
      <w:pPr>
        <w:pStyle w:val="Compact"/>
        <w:numPr>
          <w:ilvl w:val="0"/>
          <w:numId w:val="1039"/>
        </w:numPr>
      </w:pPr>
      <w:r>
        <w:t xml:space="preserve">Stratification: Confirm proportional representation across DBH classes in calibration/validation splits</w:t>
      </w:r>
    </w:p>
    <w:bookmarkEnd w:id="91"/>
    <w:bookmarkStart w:id="92" w:name="next-steps"/>
    <w:p>
      <w:pPr>
        <w:pStyle w:val="Heading3"/>
      </w:pPr>
      <w:r>
        <w:t xml:space="preserve">Next Steps</w:t>
      </w:r>
    </w:p>
    <w:p>
      <w:pPr>
        <w:pStyle w:val="FirstParagraph"/>
      </w:pPr>
      <w:r>
        <w:t xml:space="preserve">Chapter 2: Emission Factors will address:</w:t>
      </w:r>
    </w:p>
    <w:p>
      <w:pPr>
        <w:pStyle w:val="Compact"/>
        <w:numPr>
          <w:ilvl w:val="0"/>
          <w:numId w:val="1040"/>
        </w:numPr>
      </w:pPr>
      <w:r>
        <w:t xml:space="preserve">IPCC default uncertainties (CH₄: ±30-40%, N₂O: ±50-60%)</w:t>
      </w:r>
    </w:p>
    <w:p>
      <w:pPr>
        <w:pStyle w:val="Compact"/>
        <w:numPr>
          <w:ilvl w:val="0"/>
          <w:numId w:val="1040"/>
        </w:numPr>
      </w:pPr>
      <w:r>
        <w:t xml:space="preserve">Combustion completeness and fire intensity effects</w:t>
      </w:r>
    </w:p>
    <w:p>
      <w:pPr>
        <w:pStyle w:val="Compact"/>
        <w:numPr>
          <w:ilvl w:val="0"/>
          <w:numId w:val="1040"/>
        </w:numPr>
      </w:pPr>
      <w:r>
        <w:t xml:space="preserve">Gas-specific emission ratios (CO₂, CH₄, N₂O)</w:t>
      </w:r>
    </w:p>
    <w:p>
      <w:pPr>
        <w:pStyle w:val="Compact"/>
        <w:numPr>
          <w:ilvl w:val="0"/>
          <w:numId w:val="1040"/>
        </w:numPr>
      </w:pPr>
      <w:r>
        <w:t xml:space="preserve">Field measurement protocols (FTIR, eddy covariance)</w:t>
      </w:r>
    </w:p>
    <w:bookmarkEnd w:id="92"/>
    <w:bookmarkEnd w:id="93"/>
    <w:bookmarkEnd w:id="94"/>
    <w:bookmarkStart w:id="171" w:name="emission-factors"/>
    <w:p>
      <w:pPr>
        <w:pStyle w:val="Heading1"/>
      </w:pPr>
      <w:r>
        <w:t xml:space="preserve">2. Emission Factors</w:t>
      </w:r>
    </w:p>
    <w:bookmarkStart w:id="95"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41"/>
        </w:numPr>
      </w:pPr>
      <w:r>
        <w:t xml:space="preserve">Distinguish between mineral soil stock-difference and organic soil flux-based accounting methodologies</w:t>
      </w:r>
    </w:p>
    <w:p>
      <w:pPr>
        <w:pStyle w:val="Compact"/>
        <w:numPr>
          <w:ilvl w:val="0"/>
          <w:numId w:val="1041"/>
        </w:numPr>
      </w:pPr>
      <w:r>
        <w:t xml:space="preserve">Select appropriate emission factors based on land use transitions, climate zones, and management practices</w:t>
      </w:r>
    </w:p>
    <w:p>
      <w:pPr>
        <w:pStyle w:val="Compact"/>
        <w:numPr>
          <w:ilvl w:val="0"/>
          <w:numId w:val="1041"/>
        </w:numPr>
      </w:pPr>
      <w:r>
        <w:t xml:space="preserve">Apply IPCC Tier 1 default values with correct stratification by soil type, agroecological zone, climate, and seasonality.</w:t>
      </w:r>
    </w:p>
    <w:p>
      <w:pPr>
        <w:pStyle w:val="Compact"/>
        <w:numPr>
          <w:ilvl w:val="0"/>
          <w:numId w:val="1041"/>
        </w:numPr>
      </w:pPr>
      <w:r>
        <w:t xml:space="preserve">Identify carbon crediting opportunities through improved land management scenarios</w:t>
      </w:r>
    </w:p>
    <w:p>
      <w:pPr>
        <w:pStyle w:val="Compact"/>
        <w:numPr>
          <w:ilvl w:val="0"/>
          <w:numId w:val="1041"/>
        </w:numPr>
      </w:pPr>
      <w:r>
        <w:t xml:space="preserve">Calculate soil organic carbon (SOC) and above-ground biomass (AGB) changes using standardized equations</w:t>
      </w:r>
    </w:p>
    <w:p>
      <w:pPr>
        <w:pStyle w:val="Compact"/>
        <w:numPr>
          <w:ilvl w:val="0"/>
          <w:numId w:val="1041"/>
        </w:numPr>
      </w:pPr>
      <w:r>
        <w:t xml:space="preserve">Implement safeguards against double-counting throughout all temporal and spatial domains.**</w:t>
      </w:r>
    </w:p>
    <w:bookmarkEnd w:id="95"/>
    <w:bookmarkStart w:id="98"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42"/>
        </w:numPr>
      </w:pPr>
      <w:r>
        <w:t xml:space="preserve">20-year SOC transition period: Replaces instantaneous oxidation assumptions, enabling credit streams over project duration</w:t>
      </w:r>
    </w:p>
    <w:p>
      <w:pPr>
        <w:pStyle w:val="Compact"/>
        <w:numPr>
          <w:ilvl w:val="0"/>
          <w:numId w:val="1042"/>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42"/>
        </w:numPr>
      </w:pPr>
      <w:r>
        <w:t xml:space="preserve">Expanded agroforestry parameterization: System-specific growth rates (G = 2.37-6.24 tC/ha/yr) differentiate silvopasture, silvoarable, and multistrata systems</w:t>
      </w:r>
    </w:p>
    <w:p>
      <w:pPr>
        <w:pStyle w:val="Compact"/>
        <w:numPr>
          <w:ilvl w:val="0"/>
          <w:numId w:val="1042"/>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6"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6"/>
    <w:bookmarkStart w:id="97"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7"/>
    <w:bookmarkEnd w:id="98"/>
    <w:bookmarkStart w:id="106" w:name="belowground-stock-change"/>
    <w:p>
      <w:pPr>
        <w:pStyle w:val="Heading2"/>
      </w:pPr>
      <w:r>
        <w:t xml:space="preserve">2.2 Belowground Stock Change</w:t>
      </w:r>
    </w:p>
    <w:bookmarkStart w:id="99"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43"/>
        </w:numPr>
      </w:pPr>
      <w:r>
        <w:t xml:space="preserve">ΔC</w:t>
      </w:r>
      <w:r>
        <w:rPr>
          <w:vertAlign w:val="subscript"/>
        </w:rPr>
        <w:t xml:space="preserve">Mineral</w:t>
      </w:r>
      <w:r>
        <w:t xml:space="preserve"> </w:t>
      </w:r>
      <w:r>
        <w:t xml:space="preserve">= Annual change in organic C stocks (tonnes C/yr)</w:t>
      </w:r>
    </w:p>
    <w:p>
      <w:pPr>
        <w:pStyle w:val="Compact"/>
        <w:numPr>
          <w:ilvl w:val="0"/>
          <w:numId w:val="1043"/>
        </w:numPr>
      </w:pPr>
      <w:r>
        <w:t xml:space="preserve">SOC₀ = Soil organic C stock in final year of transition period (tonnes C/ha)</w:t>
      </w:r>
    </w:p>
    <w:p>
      <w:pPr>
        <w:pStyle w:val="Compact"/>
        <w:numPr>
          <w:ilvl w:val="0"/>
          <w:numId w:val="1043"/>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43"/>
        </w:numPr>
      </w:pPr>
      <w:r>
        <w:t xml:space="preserve">D = Time dependence of stock change factors (default: 20 years)</w:t>
      </w:r>
    </w:p>
    <w:p>
      <w:pPr>
        <w:pStyle w:val="Compact"/>
        <w:numPr>
          <w:ilvl w:val="0"/>
          <w:numId w:val="1043"/>
        </w:numPr>
      </w:pPr>
      <w:r>
        <w:t xml:space="preserve">Area = Land area of stratum (hectares)</w:t>
      </w:r>
    </w:p>
    <w:bookmarkEnd w:id="99"/>
    <w:bookmarkStart w:id="105"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44"/>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44"/>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44"/>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44"/>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Applications/quarto/share/formats/docx/warning.png" id="102"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45"/>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45"/>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45"/>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6"/>
              </w:numPr>
            </w:pPr>
            <w:r>
              <w:t xml:space="preserve">“Average SOC stocks to 30 cm presented here are lower than those listed in the 2006 IPCC Guidelines.</w:t>
            </w:r>
          </w:p>
          <w:p>
            <w:pPr>
              <w:pStyle w:val="Compact"/>
              <w:numPr>
                <w:ilvl w:val="0"/>
                <w:numId w:val="1046"/>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6"/>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7"/>
              </w:numPr>
            </w:pPr>
            <w:r>
              <w:t xml:space="preserve">German Alps forest soils (Wiesmeier et al., 2014): Mean = 10.9 kg C/m², Median = 7.2 kg C/m² (34% difference)</w:t>
            </w:r>
          </w:p>
          <w:p>
            <w:pPr>
              <w:pStyle w:val="Compact"/>
              <w:numPr>
                <w:ilvl w:val="0"/>
                <w:numId w:val="1047"/>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3" w:name="south-america-bias"/>
          <w:p>
            <w:pPr>
              <w:pStyle w:val="Heading3"/>
            </w:pPr>
            <w:r>
              <w:t xml:space="preserve">South America Bias</w:t>
            </w:r>
          </w:p>
          <w:p>
            <w:pPr>
              <w:numPr>
                <w:ilvl w:val="0"/>
                <w:numId w:val="1048"/>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8"/>
              </w:numPr>
            </w:pPr>
            <w:r>
              <w:t xml:space="preserve">Regional Sampling Gaps:</w:t>
            </w:r>
          </w:p>
          <w:p>
            <w:pPr>
              <w:pStyle w:val="Compact"/>
              <w:numPr>
                <w:ilvl w:val="1"/>
                <w:numId w:val="1049"/>
              </w:numPr>
            </w:pPr>
            <w:r>
              <w:t xml:space="preserve">High-Andean páramo: &lt;50 profiles in WISE database</w:t>
            </w:r>
          </w:p>
          <w:p>
            <w:pPr>
              <w:pStyle w:val="Compact"/>
              <w:numPr>
                <w:ilvl w:val="1"/>
                <w:numId w:val="1049"/>
              </w:numPr>
            </w:pPr>
            <w:r>
              <w:t xml:space="preserve">Patagonian steppe: Underrepresented relative to area</w:t>
            </w:r>
          </w:p>
          <w:p>
            <w:pPr>
              <w:pStyle w:val="Compact"/>
              <w:numPr>
                <w:ilvl w:val="1"/>
                <w:numId w:val="1049"/>
              </w:numPr>
            </w:pPr>
            <w:r>
              <w:t xml:space="preserve">Chaco dry forests: Sparse coverage, dominated by Argentine samples</w:t>
            </w:r>
          </w:p>
          <w:p>
            <w:pPr>
              <w:pStyle w:val="Compact"/>
              <w:numPr>
                <w:ilvl w:val="1"/>
                <w:numId w:val="1049"/>
              </w:numPr>
            </w:pPr>
            <w:r>
              <w:t xml:space="preserve">Amazon deep soils: Most profiles limited to 0-30cm</w:t>
            </w:r>
          </w:p>
          <w:p>
            <w:pPr>
              <w:numPr>
                <w:ilvl w:val="0"/>
                <w:numId w:val="1048"/>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8"/>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8"/>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3"/>
          <w:bookmarkStart w:id="104" w:name="refinements-status"/>
          <w:p>
            <w:pPr>
              <w:pStyle w:val="Heading3"/>
            </w:pPr>
            <w:r>
              <w:t xml:space="preserve">2019 Refinements Status</w:t>
            </w:r>
          </w:p>
          <w:p>
            <w:pPr>
              <w:pStyle w:val="FirstParagraph"/>
            </w:pPr>
            <w:r>
              <w:t xml:space="preserve">Tier 1 Improvements:</w:t>
            </w:r>
          </w:p>
          <w:p>
            <w:pPr>
              <w:pStyle w:val="Compact"/>
              <w:numPr>
                <w:ilvl w:val="0"/>
                <w:numId w:val="1050"/>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50"/>
              </w:numPr>
            </w:pPr>
            <w:r>
              <w:t xml:space="preserve">Agroforestry parameters (Cardinael et al., 2018),</w:t>
            </w:r>
          </w:p>
          <w:p>
            <w:pPr>
              <w:pStyle w:val="Compact"/>
              <w:numPr>
                <w:ilvl w:val="0"/>
                <w:numId w:val="1050"/>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51"/>
              </w:numPr>
            </w:pPr>
            <w:r>
              <w:t xml:space="preserve">SOC</w:t>
            </w:r>
            <w:r>
              <w:rPr>
                <w:vertAlign w:val="subscript"/>
              </w:rPr>
              <w:t xml:space="preserve">REF</w:t>
            </w:r>
            <w:r>
              <w:t xml:space="preserve"> </w:t>
            </w:r>
            <w:r>
              <w:t xml:space="preserve">values (still based on WISE database)</w:t>
            </w:r>
          </w:p>
          <w:p>
            <w:pPr>
              <w:pStyle w:val="Compact"/>
              <w:numPr>
                <w:ilvl w:val="0"/>
                <w:numId w:val="1051"/>
              </w:numPr>
            </w:pPr>
            <w:r>
              <w:t xml:space="preserve">Arithmetic mean approach (medians not adopted</w:t>
            </w:r>
          </w:p>
          <w:p>
            <w:pPr>
              <w:pStyle w:val="Compact"/>
              <w:numPr>
                <w:ilvl w:val="0"/>
                <w:numId w:val="1051"/>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4"/>
    <w:bookmarkEnd w:id="105"/>
    <w:bookmarkEnd w:id="106"/>
    <w:bookmarkStart w:id="114"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0"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7">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Applications/quarto/share/formats/docx/important.png" id="10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52"/>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52"/>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52"/>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0"/>
    <w:bookmarkStart w:id="113"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7">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Applications/quarto/share/formats/docx/warning.png" id="112"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53"/>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53"/>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3"/>
    <w:bookmarkEnd w:id="114"/>
    <w:bookmarkStart w:id="121"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0"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Applications/quarto/share/formats/docx/tip.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0"/>
    <w:bookmarkEnd w:id="121"/>
    <w:bookmarkStart w:id="123"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2"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2"/>
    <w:bookmarkEnd w:id="123"/>
    <w:bookmarkStart w:id="129"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4">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102"/>
        <w:gridCol w:w="1804"/>
        <w:gridCol w:w="1303"/>
        <w:gridCol w:w="3709"/>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important.png" id="1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29"/>
    <w:bookmarkStart w:id="140" w:name="aboveground-stock-change"/>
    <w:p>
      <w:pPr>
        <w:pStyle w:val="Heading2"/>
      </w:pPr>
      <w:r>
        <w:t xml:space="preserve">2.7. Aboveground Stock Change</w:t>
      </w:r>
    </w:p>
    <w:bookmarkStart w:id="133"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2"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2"/>
    <w:bookmarkEnd w:id="133"/>
    <w:bookmarkStart w:id="136" w:name="silvopastoral-systems"/>
    <w:p>
      <w:pPr>
        <w:pStyle w:val="Heading3"/>
      </w:pPr>
      <w:r>
        <w:t xml:space="preserve">Silvopastoral Systems</w:t>
      </w:r>
    </w:p>
    <w:p>
      <w:pPr>
        <w:numPr>
          <w:ilvl w:val="0"/>
          <w:numId w:val="1054"/>
        </w:numPr>
      </w:pPr>
      <w:r>
        <w:t xml:space="preserve">Silvoarable systems offer the highest long-term carbon accumulation (7.86 tC/ha/yr), equivalent to 28.8 tCO₂e/ha/yr—ideal for jurisdictions with strong silvicultural capacity</w:t>
      </w:r>
    </w:p>
    <w:p>
      <w:pPr>
        <w:numPr>
          <w:ilvl w:val="0"/>
          <w:numId w:val="1054"/>
        </w:numPr>
      </w:pPr>
      <w:r>
        <w:t xml:space="preserve">Fallow systems have rapid accumulation rates (4.42 tC/ha/yr) but short harvest cycles (5 years)—useful for bridging short-term credit gaps but require frequent re-establishment</w:t>
      </w:r>
    </w:p>
    <w:p>
      <w:pPr>
        <w:numPr>
          <w:ilvl w:val="0"/>
          <w:numId w:val="1054"/>
        </w:numPr>
      </w:pPr>
      <w:r>
        <w:t xml:space="preserve">Multistrata coffee/cacao (3.25 tC/ha/yr) balances commodity production with carbon credits, making it economically attractive where markets exist</w:t>
      </w:r>
    </w:p>
    <w:p>
      <w:pPr>
        <w:numPr>
          <w:ilvl w:val="0"/>
          <w:numId w:val="1054"/>
        </w:numPr>
      </w:pPr>
      <w:r>
        <w:t xml:space="preserve">Below-ground accumulation adds 21-27% to total carbon gains—always include root biomass in credit calculations</w:t>
      </w:r>
    </w:p>
    <w:bookmarkStart w:id="134"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4"/>
    <w:bookmarkStart w:id="135"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5"/>
    <w:bookmarkEnd w:id="136"/>
    <w:bookmarkStart w:id="139"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important.png" id="13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39"/>
    <w:bookmarkEnd w:id="140"/>
    <w:bookmarkStart w:id="143"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305"/>
        <w:gridCol w:w="1804"/>
        <w:gridCol w:w="1904"/>
        <w:gridCol w:w="1904"/>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Applications/quarto/share/formats/docx/important.png" id="14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3"/>
    <w:bookmarkStart w:id="151"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4"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4"/>
    <w:bookmarkStart w:id="145"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5"/>
    <w:bookmarkStart w:id="146"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6"/>
    <w:bookmarkStart w:id="147"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7"/>
    <w:bookmarkStart w:id="150"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Applications/quarto/share/formats/docx/tip.png" id="14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55"/>
              </w:numPr>
            </w:pPr>
            <w:r>
              <w:t xml:space="preserve">Portfolio approach combining both young regeneration (high annual credits) and mature forests (high stock, low leakage risk).</w:t>
            </w:r>
          </w:p>
        </w:tc>
      </w:tr>
    </w:tbl>
    <w:p>
      <w:r>
        <w:pict>
          <v:rect style="width:0;height:1.5pt" o:hralign="center" o:hrstd="t" o:hr="t"/>
        </w:pict>
      </w:r>
    </w:p>
    <w:bookmarkEnd w:id="150"/>
    <w:bookmarkEnd w:id="151"/>
    <w:bookmarkStart w:id="157" w:name="worked-examples"/>
    <w:p>
      <w:pPr>
        <w:pStyle w:val="Heading2"/>
      </w:pPr>
      <w:r>
        <w:t xml:space="preserve">2.10 Worked Examples</w:t>
      </w:r>
    </w:p>
    <w:bookmarkStart w:id="152"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6"/>
        </w:numPr>
      </w:pPr>
      <w:r>
        <w:t xml:space="preserve">Soil Type: Low Activity Clay (LAC)</w:t>
      </w:r>
    </w:p>
    <w:p>
      <w:pPr>
        <w:pStyle w:val="Compact"/>
        <w:numPr>
          <w:ilvl w:val="0"/>
          <w:numId w:val="1056"/>
        </w:numPr>
      </w:pPr>
      <w:r>
        <w:t xml:space="preserve">Climate: Tropical Moist</w:t>
      </w:r>
    </w:p>
    <w:p>
      <w:pPr>
        <w:pStyle w:val="Compact"/>
        <w:numPr>
          <w:ilvl w:val="0"/>
          <w:numId w:val="1056"/>
        </w:numPr>
      </w:pPr>
      <w:r>
        <w:t xml:space="preserve">SOC</w:t>
      </w:r>
      <w:r>
        <w:rPr>
          <w:vertAlign w:val="subscript"/>
        </w:rPr>
        <w:t xml:space="preserve">REF</w:t>
      </w:r>
      <w:r>
        <w:t xml:space="preserve">: 38 tC/ha (Table 2.7)</w:t>
      </w:r>
    </w:p>
    <w:p>
      <w:pPr>
        <w:pStyle w:val="Compact"/>
        <w:numPr>
          <w:ilvl w:val="0"/>
          <w:numId w:val="1056"/>
        </w:numPr>
      </w:pPr>
      <w:r>
        <w:t xml:space="preserve">Management: Severely degraded (F</w:t>
      </w:r>
      <w:r>
        <w:rPr>
          <w:vertAlign w:val="subscript"/>
        </w:rPr>
        <w:t xml:space="preserve">MG</w:t>
      </w:r>
      <w:r>
        <w:t xml:space="preserve"> </w:t>
      </w:r>
      <w:r>
        <w:t xml:space="preserve">= 0.70)</w:t>
      </w:r>
    </w:p>
    <w:p>
      <w:pPr>
        <w:pStyle w:val="Compact"/>
        <w:numPr>
          <w:ilvl w:val="0"/>
          <w:numId w:val="1056"/>
        </w:numPr>
      </w:pPr>
      <w:r>
        <w:t xml:space="preserve">Input Level: Nominal (F</w:t>
      </w:r>
      <w:r>
        <w:rPr>
          <w:vertAlign w:val="subscript"/>
        </w:rPr>
        <w:t xml:space="preserve">I</w:t>
      </w:r>
      <w:r>
        <w:t xml:space="preserve"> </w:t>
      </w:r>
      <w:r>
        <w:t xml:space="preserve">= 1.0)</w:t>
      </w:r>
    </w:p>
    <w:p>
      <w:pPr>
        <w:pStyle w:val="Compact"/>
        <w:numPr>
          <w:ilvl w:val="0"/>
          <w:numId w:val="1056"/>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7"/>
        </w:numPr>
      </w:pPr>
      <w:r>
        <w:t xml:space="preserve">Management: Improved tropical grassland (F</w:t>
      </w:r>
      <w:r>
        <w:rPr>
          <w:vertAlign w:val="subscript"/>
        </w:rPr>
        <w:t xml:space="preserve">MG</w:t>
      </w:r>
      <w:r>
        <w:t xml:space="preserve"> </w:t>
      </w:r>
      <w:r>
        <w:t xml:space="preserve">= 1.17)</w:t>
      </w:r>
    </w:p>
    <w:p>
      <w:pPr>
        <w:pStyle w:val="Compact"/>
        <w:numPr>
          <w:ilvl w:val="0"/>
          <w:numId w:val="1057"/>
        </w:numPr>
      </w:pPr>
      <w:r>
        <w:t xml:space="preserve">Input Level: High with manure (F</w:t>
      </w:r>
      <w:r>
        <w:rPr>
          <w:vertAlign w:val="subscript"/>
        </w:rPr>
        <w:t xml:space="preserve">I</w:t>
      </w:r>
      <w:r>
        <w:t xml:space="preserve"> </w:t>
      </w:r>
      <w:r>
        <w:t xml:space="preserve">= 1.11)</w:t>
      </w:r>
    </w:p>
    <w:p>
      <w:pPr>
        <w:pStyle w:val="Compact"/>
        <w:numPr>
          <w:ilvl w:val="0"/>
          <w:numId w:val="1057"/>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2"/>
    <w:bookmarkStart w:id="155"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8"/>
        </w:numPr>
      </w:pPr>
      <w:r>
        <w:t xml:space="preserve">Soil: LAC (SOC</w:t>
      </w:r>
      <w:r>
        <w:rPr>
          <w:vertAlign w:val="subscript"/>
        </w:rPr>
        <w:t xml:space="preserve">REF</w:t>
      </w:r>
      <w:r>
        <w:t xml:space="preserve"> </w:t>
      </w:r>
      <w:r>
        <w:t xml:space="preserve">= 38 tC/ha)</w:t>
      </w:r>
    </w:p>
    <w:p>
      <w:pPr>
        <w:pStyle w:val="Compact"/>
        <w:numPr>
          <w:ilvl w:val="0"/>
          <w:numId w:val="1058"/>
        </w:numPr>
      </w:pPr>
      <w:r>
        <w:t xml:space="preserve">Biomass: 88 t DM/ha (IPCC default for tropical moist secondary forest)</w:t>
      </w:r>
    </w:p>
    <w:p>
      <w:pPr>
        <w:pStyle w:val="Compact"/>
        <w:numPr>
          <w:ilvl w:val="0"/>
          <w:numId w:val="1058"/>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9"/>
        </w:numPr>
      </w:pPr>
      <w:r>
        <w:t xml:space="preserve">F</w:t>
      </w:r>
      <w:r>
        <w:rPr>
          <w:vertAlign w:val="subscript"/>
        </w:rPr>
        <w:t xml:space="preserve">LU</w:t>
      </w:r>
      <w:r>
        <w:t xml:space="preserve">: 0.83 (long-term cultivated)</w:t>
      </w:r>
    </w:p>
    <w:p>
      <w:pPr>
        <w:pStyle w:val="Compact"/>
        <w:numPr>
          <w:ilvl w:val="0"/>
          <w:numId w:val="1059"/>
        </w:numPr>
      </w:pPr>
      <w:r>
        <w:t xml:space="preserve">F</w:t>
      </w:r>
      <w:r>
        <w:rPr>
          <w:vertAlign w:val="subscript"/>
        </w:rPr>
        <w:t xml:space="preserve">MG</w:t>
      </w:r>
      <w:r>
        <w:t xml:space="preserve">: 1.10 (no-till)</w:t>
      </w:r>
    </w:p>
    <w:p>
      <w:pPr>
        <w:pStyle w:val="Compact"/>
        <w:numPr>
          <w:ilvl w:val="0"/>
          <w:numId w:val="1059"/>
        </w:numPr>
      </w:pPr>
      <w:r>
        <w:t xml:space="preserve">F</w:t>
      </w:r>
      <w:r>
        <w:rPr>
          <w:vertAlign w:val="subscript"/>
        </w:rPr>
        <w:t xml:space="preserve">I</w:t>
      </w:r>
      <w:r>
        <w:t xml:space="preserve">: 1.04 (high inputs, no manure)</w:t>
      </w:r>
    </w:p>
    <w:p>
      <w:pPr>
        <w:pStyle w:val="Compact"/>
        <w:numPr>
          <w:ilvl w:val="0"/>
          <w:numId w:val="1059"/>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Applications/quarto/share/formats/docx/important.png" id="15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60"/>
              </w:numPr>
            </w:pPr>
            <w:r>
              <w:t xml:space="preserve">Applying and documenting maximum conservation practices when conversion is necessary</w:t>
            </w:r>
          </w:p>
          <w:p>
            <w:pPr>
              <w:pStyle w:val="Compact"/>
              <w:numPr>
                <w:ilvl w:val="0"/>
                <w:numId w:val="1060"/>
              </w:numPr>
            </w:pPr>
            <w:r>
              <w:t xml:space="preserve">Prioritizing conversion of already-degraded lands rather than forest</w:t>
            </w:r>
          </w:p>
        </w:tc>
      </w:tr>
    </w:tbl>
    <w:bookmarkEnd w:id="155"/>
    <w:bookmarkStart w:id="156"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61"/>
        </w:numPr>
      </w:pPr>
      <w:r>
        <w:t xml:space="preserve">High baseline threat of avoided deforestation scenario</w:t>
      </w:r>
    </w:p>
    <w:p>
      <w:pPr>
        <w:pStyle w:val="Compact"/>
        <w:numPr>
          <w:ilvl w:val="0"/>
          <w:numId w:val="1061"/>
        </w:numPr>
      </w:pPr>
      <w:r>
        <w:t xml:space="preserve">Continued rapid growth rate of protected land at 5.9 t DM/ha/yr.</w:t>
      </w:r>
    </w:p>
    <w:p>
      <w:pPr>
        <w:pStyle w:val="Compact"/>
        <w:numPr>
          <w:ilvl w:val="0"/>
          <w:numId w:val="1061"/>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6"/>
    <w:bookmarkEnd w:id="157"/>
    <w:bookmarkStart w:id="165" w:name="double-counting-risks"/>
    <w:p>
      <w:pPr>
        <w:pStyle w:val="Heading2"/>
      </w:pPr>
      <w:r>
        <w:t xml:space="preserve">2.11 Double-Counting Risks</w:t>
      </w:r>
    </w:p>
    <w:bookmarkStart w:id="160" w:name="double-counting-soc-timelines"/>
    <w:p>
      <w:pPr>
        <w:pStyle w:val="Heading3"/>
      </w:pPr>
      <w:r>
        <w:t xml:space="preserve">Double-Counting SOC Timelines</w:t>
      </w:r>
    </w:p>
    <w:p>
      <w:pPr>
        <w:pStyle w:val="Compact"/>
        <w:numPr>
          <w:ilvl w:val="0"/>
          <w:numId w:val="1062"/>
        </w:numPr>
      </w:pPr>
      <w:r>
        <w:t xml:space="preserve">Problem: Legacy emissions from historical land conversion overlap with new management activity credits</w:t>
      </w:r>
    </w:p>
    <w:p>
      <w:pPr>
        <w:pStyle w:val="Compact"/>
        <w:numPr>
          <w:ilvl w:val="0"/>
          <w:numId w:val="1062"/>
        </w:numPr>
      </w:pPr>
      <w:r>
        <w:t xml:space="preserve">Rule: Each hectare reports in only one land category per reporting year</w:t>
      </w:r>
    </w:p>
    <w:p>
      <w:pPr>
        <w:pStyle w:val="FirstParagraph"/>
      </w:pPr>
      <w:r>
        <w:t xml:space="preserve">Safeguards:</w:t>
      </w:r>
    </w:p>
    <w:p>
      <w:pPr>
        <w:pStyle w:val="Compact"/>
        <w:numPr>
          <w:ilvl w:val="0"/>
          <w:numId w:val="1063"/>
        </w:numPr>
      </w:pPr>
      <w:r>
        <w:t xml:space="preserve">One Category Per Year: During 20-year SOC transition period, attribute ALL stock changes to the end-use land category, not the category of origin</w:t>
      </w:r>
    </w:p>
    <w:p>
      <w:pPr>
        <w:pStyle w:val="Compact"/>
        <w:numPr>
          <w:ilvl w:val="0"/>
          <w:numId w:val="1063"/>
        </w:numPr>
      </w:pPr>
      <w:r>
        <w:t xml:space="preserve">Cohort Tracking: Maintain records of conversion year for each hectare to calculate remaining transition period</w:t>
      </w:r>
    </w:p>
    <w:p>
      <w:pPr>
        <w:pStyle w:val="Compact"/>
        <w:numPr>
          <w:ilvl w:val="0"/>
          <w:numId w:val="1063"/>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8" name="Picture"/>
                  <a:graphic>
                    <a:graphicData uri="http://schemas.openxmlformats.org/drawingml/2006/picture">
                      <pic:pic>
                        <pic:nvPicPr>
                          <pic:cNvPr descr="/Applications/quarto/share/formats/docx/warning.png" id="159"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0"/>
    <w:bookmarkStart w:id="161" w:name="tracking-site-specific-timelines"/>
    <w:p>
      <w:pPr>
        <w:pStyle w:val="Heading3"/>
      </w:pPr>
      <w:r>
        <w:t xml:space="preserve">Tracking Site-Specific Timelines</w:t>
      </w:r>
    </w:p>
    <w:p>
      <w:pPr>
        <w:pStyle w:val="Compact"/>
        <w:numPr>
          <w:ilvl w:val="0"/>
          <w:numId w:val="1064"/>
        </w:numPr>
      </w:pPr>
      <w:r>
        <w:t xml:space="preserve">Problem: Claiming infinite biomass accumulation in systems with periodic harvest</w:t>
      </w:r>
    </w:p>
    <w:p>
      <w:pPr>
        <w:pStyle w:val="Compact"/>
        <w:numPr>
          <w:ilvl w:val="0"/>
          <w:numId w:val="1064"/>
        </w:numPr>
      </w:pPr>
      <w:r>
        <w:t xml:space="preserve">Rule: Agroforestry credits must account for harvest cycle and removal</w:t>
      </w:r>
    </w:p>
    <w:p>
      <w:pPr>
        <w:pStyle w:val="FirstParagraph"/>
      </w:pPr>
      <w:r>
        <w:t xml:space="preserve">Safeguards:</w:t>
      </w:r>
    </w:p>
    <w:p>
      <w:pPr>
        <w:pStyle w:val="Compact"/>
        <w:numPr>
          <w:ilvl w:val="0"/>
          <w:numId w:val="1065"/>
        </w:numPr>
      </w:pPr>
      <w:r>
        <w:t xml:space="preserve">Respect Default Harvest Cycles (Table 3.2):</w:t>
      </w:r>
    </w:p>
    <w:p>
      <w:pPr>
        <w:pStyle w:val="Compact"/>
        <w:numPr>
          <w:ilvl w:val="1"/>
          <w:numId w:val="1066"/>
        </w:numPr>
      </w:pPr>
      <w:r>
        <w:t xml:space="preserve">Tropical agroforestry: 20 years (except fallow: 5 years)</w:t>
      </w:r>
    </w:p>
    <w:p>
      <w:pPr>
        <w:pStyle w:val="Compact"/>
        <w:numPr>
          <w:ilvl w:val="1"/>
          <w:numId w:val="1066"/>
        </w:numPr>
      </w:pPr>
      <w:r>
        <w:t xml:space="preserve">Temperate agroforestry: 30 years</w:t>
      </w:r>
    </w:p>
    <w:p>
      <w:pPr>
        <w:pStyle w:val="Compact"/>
        <w:numPr>
          <w:ilvl w:val="0"/>
          <w:numId w:val="1065"/>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1"/>
    <w:bookmarkStart w:id="164"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Applications/quarto/share/formats/docx/tip.png" id="16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4"/>
    <w:bookmarkEnd w:id="165"/>
    <w:bookmarkStart w:id="167" w:name="uncertainty-quantification"/>
    <w:p>
      <w:pPr>
        <w:pStyle w:val="Heading2"/>
      </w:pPr>
      <w:r>
        <w:t xml:space="preserve">2.12 Uncertainty Quantification</w:t>
      </w:r>
    </w:p>
    <w:bookmarkStart w:id="166"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6"/>
    <w:bookmarkEnd w:id="167"/>
    <w:bookmarkStart w:id="168"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8"/>
    <w:bookmarkStart w:id="169" w:name="chapter-summary"/>
    <w:p>
      <w:pPr>
        <w:pStyle w:val="Heading2"/>
      </w:pPr>
      <w:r>
        <w:t xml:space="preserve">2.14 Chapter Summary</w:t>
      </w:r>
    </w:p>
    <w:p>
      <w:pPr>
        <w:pStyle w:val="FirstParagraph"/>
      </w:pPr>
      <w:r>
        <w:t xml:space="preserve">The following were compiled as critical decision points for program proponents.</w:t>
      </w:r>
    </w:p>
    <w:p>
      <w:pPr>
        <w:numPr>
          <w:ilvl w:val="0"/>
          <w:numId w:val="1067"/>
        </w:numPr>
      </w:pPr>
      <w:r>
        <w:t xml:space="preserve">Verify Soil Type First: Distinguish mineral vs. organic soils before selecting accounting method—this is the most fundamental decision</w:t>
      </w:r>
    </w:p>
    <w:p>
      <w:pPr>
        <w:numPr>
          <w:ilvl w:val="0"/>
          <w:numId w:val="1067"/>
        </w:numPr>
      </w:pPr>
      <w:r>
        <w:t xml:space="preserve">Stratify Appropriately: Match climate zone, soil type, and management class to IPCC lookup tables—incorrect stratification invalidates results</w:t>
      </w:r>
    </w:p>
    <w:p>
      <w:pPr>
        <w:numPr>
          <w:ilvl w:val="0"/>
          <w:numId w:val="1067"/>
        </w:numPr>
      </w:pPr>
      <w:r>
        <w:t xml:space="preserve">Document Baseline Rigorously: Large SOC or biomass changes require strong evidence of degraded initial conditions to justify additionality</w:t>
      </w:r>
    </w:p>
    <w:p>
      <w:pPr>
        <w:numPr>
          <w:ilvl w:val="0"/>
          <w:numId w:val="1067"/>
        </w:numPr>
      </w:pPr>
      <w:r>
        <w:t xml:space="preserve">Apply Harvest Cycles: Agroforestry credits must account for periodic biomass removal—do not claim indefinite accumulation</w:t>
      </w:r>
    </w:p>
    <w:p>
      <w:pPr>
        <w:numPr>
          <w:ilvl w:val="0"/>
          <w:numId w:val="1067"/>
        </w:numPr>
      </w:pPr>
      <w:r>
        <w:t xml:space="preserve">Implement Safeguards: Prevent double-counting through temporal tracking, pool separation, and conservative interpretation of overlapping activities</w:t>
      </w:r>
    </w:p>
    <w:p>
      <w:pPr>
        <w:numPr>
          <w:ilvl w:val="0"/>
          <w:numId w:val="1067"/>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8"/>
        </w:numPr>
      </w:pPr>
      <w:r>
        <w:t xml:space="preserve">Quantified Uncertainty for each major parameter</w:t>
      </w:r>
    </w:p>
    <w:p>
      <w:pPr>
        <w:pStyle w:val="Compact"/>
        <w:numPr>
          <w:ilvl w:val="0"/>
          <w:numId w:val="1068"/>
        </w:numPr>
      </w:pPr>
      <w:r>
        <w:t xml:space="preserve">Propagated Total Uncertainty for final emission/removal estimates</w:t>
      </w:r>
    </w:p>
    <w:p>
      <w:pPr>
        <w:pStyle w:val="Compact"/>
        <w:numPr>
          <w:ilvl w:val="0"/>
          <w:numId w:val="1068"/>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69"/>
    <w:bookmarkStart w:id="170" w:name="next-steps-1"/>
    <w:p>
      <w:pPr>
        <w:pStyle w:val="Heading2"/>
      </w:pPr>
      <w:r>
        <w:t xml:space="preserve">2.15 Next Steps</w:t>
      </w:r>
    </w:p>
    <w:p>
      <w:pPr>
        <w:pStyle w:val="FirstParagraph"/>
      </w:pPr>
      <w:r>
        <w:t xml:space="preserve">Practitioners should now be prepared to:</w:t>
      </w:r>
    </w:p>
    <w:p>
      <w:pPr>
        <w:pStyle w:val="Compact"/>
        <w:numPr>
          <w:ilvl w:val="0"/>
          <w:numId w:val="1069"/>
        </w:numPr>
      </w:pPr>
      <w:r>
        <w:t xml:space="preserve">Select appropriate emission factors from IPCC 2019 Tier 1 values.</w:t>
      </w:r>
    </w:p>
    <w:p>
      <w:pPr>
        <w:pStyle w:val="Compact"/>
        <w:numPr>
          <w:ilvl w:val="0"/>
          <w:numId w:val="1069"/>
        </w:numPr>
      </w:pPr>
      <w:r>
        <w:t xml:space="preserve">Calculate SOC and biomass changes using standardized equations</w:t>
      </w:r>
    </w:p>
    <w:p>
      <w:pPr>
        <w:pStyle w:val="Compact"/>
        <w:numPr>
          <w:ilvl w:val="0"/>
          <w:numId w:val="1069"/>
        </w:numPr>
      </w:pPr>
      <w:r>
        <w:t xml:space="preserve">Identify strategic opportunities for credit generation</w:t>
      </w:r>
    </w:p>
    <w:p>
      <w:pPr>
        <w:pStyle w:val="Compact"/>
        <w:numPr>
          <w:ilvl w:val="0"/>
          <w:numId w:val="1069"/>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0"/>
    <w:bookmarkEnd w:id="171"/>
    <w:bookmarkStart w:id="308" w:name="activity-data"/>
    <w:p>
      <w:pPr>
        <w:pStyle w:val="Heading1"/>
      </w:pPr>
      <w:r>
        <w:t xml:space="preserve">3. Activity Data</w:t>
      </w:r>
    </w:p>
    <w:bookmarkStart w:id="174"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72" w:name="the-data-cube-framework"/>
    <w:p>
      <w:pPr>
        <w:pStyle w:val="Heading3"/>
      </w:pPr>
      <w:r>
        <w:t xml:space="preserve">The Data Cube Framework</w:t>
      </w:r>
    </w:p>
    <w:p>
      <w:pPr>
        <w:pStyle w:val="FirstParagraph"/>
      </w:pPr>
      <w:r>
        <w:t xml:space="preserve">Satellite-based activity data classification faces three fundamental sources of uncertainty that propagate through the entire monitoring workflow: spatial misalignment between sensor bands and coordinate systems, temporal gaps from cloud contamination coinciding with forest clearing events, and spectral inconsistency from varying atmospheric conditions and sensor calibrations. Traditional scene-based processing approaches that handle individual satellite images independently fail to address these uncertainties systematically, introducing geometric discontinuities at tile boundaries, creating systematic bias when deforestation occurs during cloudy periods, and propagating uncorrected atmospheric effects into phenological signatures used for classification.</w:t>
      </w:r>
    </w:p>
    <w:p>
      <w:pPr>
        <w:pStyle w:val="BodyText"/>
      </w:pPr>
      <w:r>
        <w:t xml:space="preserve">Data cubes provide a structured solution by organizing satellite imagery as multidimensional arrays with consistent spatial, temporal, and spectral dimensions. This architecture enables analysis-ready data workflows that normalize heterogeneous satellite acquisitions into regular spatiotemporal grids before classification, explicitly addressing each uncertainty source through coupled preprocessing operations. Spatial normalization eliminates co-registration errors by reprojecting all inputs to common coordinate systems with uniform pixel spacing, reducing geometric uncertainty that typically contributes 5-10% classification error at forest boundaries where precise delineation determines area estimates. Temporal normalization fills cloud gaps through compositing algorithms that rank scenes by atmospheric quality and interpolate missing observations, preventing the 15-25% systematic underestimation of forest loss documented when clearing events coincide with persistent cloud cover (Hansen et al., 2014). Spectral normalization applies consistent atmospheric corrections and sensor calibrations across the time series, ensuring temporal patterns reflect genuine phenological dynamics rather than data processing artifacts that inflate classification variance by 10-20%.</w:t>
      </w:r>
    </w:p>
    <w:p>
      <w:pPr>
        <w:pStyle w:val="BodyText"/>
      </w:pPr>
      <w:r>
        <w:t xml:space="preserve">For REDD+ monitoring under IPCC Approach 3 requirements, data cube architecture provides the foundation for pixel-level uncertainty tracking essential for defensible carbon accounting. By organizing probability estimates and model residuals as additional cube attributes alongside land cover classifications, analysts can map spatial patterns of classification uncertainty and implement adaptive validation strategies that target high-uncertainty regions for enhanced sampling. This spatially explicit uncertainty quantification directly supports ART-TREES Section 8 compliance by providing the pixel-level confidence estimates required for Monte Carlo emission simulations, enabling activity data uncertainty deductions calculated from empirical probability distributions rather than conservative default assumptions. Empirical studies demonstrate that proper data cube preprocessing reduces total classification uncertainty by 40-60% compared to scene-based approaches, translating directly to reduced carbon credit deductions, for a 1 million tCO₂e REDD+ project, this represents $200,000-$300,000 in protected revenue at $5/tonne carbon pricing.</w:t>
      </w:r>
    </w:p>
    <w:bookmarkEnd w:id="172"/>
    <w:bookmarkStart w:id="173"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within data cube frameworks, which ART-TREES programs predominantly adopt due to requirements for spatially explicit monitoring, pixel-level change detection, and integration with emission factor stratification. The data cube architecture and machine learning workflows demonstrated in Sections 3.2-3.9 operationalize Approach 3 while providing the uncertainty quantification infrastructure required under ART-TREES Section 8. Data cubes enable Approach 3’s lower uncertainty bounds by ensuring consistent spatial alignment for wall-to-wall mapping, maintaining temporal continuity for change detection, and preserving spectral fidelity for accurate classification—benefits unattainable through aggregated statistics (Approach 1) or sample-based approaches (Approach 2) that inherently discard spatial context.</w:t>
      </w:r>
    </w:p>
    <w:p>
      <w:pPr>
        <w:pStyle w:val="BodyText"/>
      </w:pPr>
      <w:r>
        <w:t xml:space="preserve">The chapter is structured around the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70"/>
        </w:numPr>
      </w:pPr>
      <w:r>
        <w:t xml:space="preserve">Data Cube Architecture (Sections 3.1-3.3): Spatiotemporal array structures for satellite time series, demonstrating how proper cube construction reduces baseline uncertainty through spatial harmonization, temporal gap-filling, and spectral normalization before classification begins.</w:t>
      </w:r>
    </w:p>
    <w:p>
      <w:pPr>
        <w:pStyle w:val="Compact"/>
        <w:numPr>
          <w:ilvl w:val="0"/>
          <w:numId w:val="1070"/>
        </w:numPr>
      </w:pPr>
      <w:r>
        <w:t xml:space="preserve">Training Data Enhancement (Sections 3.4-3.7): Sample quality assessment and optimization through active learning, hierarchical clustering, class balancing, and geographic coverage analysis—addressing the 20-40% classification uncertainty stemming from inadequate or biased training data.</w:t>
      </w:r>
    </w:p>
    <w:p>
      <w:pPr>
        <w:pStyle w:val="Compact"/>
        <w:numPr>
          <w:ilvl w:val="0"/>
          <w:numId w:val="1070"/>
        </w:numPr>
      </w:pPr>
      <w:r>
        <w:t xml:space="preserve">Classification and Smoothing (Section 3.8): Probability cube generation and Bayesian spatial smoothing that reduces salt-and-pepper noise while preserving legitimate landscape heterogeneity, typically improving validation agreement by 10-15% compared to discrete pixel-based classifications.</w:t>
      </w:r>
    </w:p>
    <w:p>
      <w:pPr>
        <w:pStyle w:val="Compact"/>
        <w:numPr>
          <w:ilvl w:val="0"/>
          <w:numId w:val="1070"/>
        </w:numPr>
      </w:pPr>
      <w:r>
        <w:t xml:space="preserve">Uncertainty Quantification (Sections 3.9-3.10): Monte Carlo cross-validation and stratified accuracy assessment providing robust out-of-sample performance estimates required for ART-TREES deduction calculations, with emphasis on class-specific error patterns and spatial uncertainty distributions.</w:t>
      </w:r>
    </w:p>
    <w:p>
      <w:pPr>
        <w:pStyle w:val="Compact"/>
        <w:numPr>
          <w:ilvl w:val="0"/>
          <w:numId w:val="1070"/>
        </w:numPr>
      </w:pPr>
      <w:r>
        <w:t xml:space="preserve">Reproducible Workflow (Section 3.11): Complete implementation code for all preprocessing, classification, and validation procedures, enabling transparent methodology documentation required for third-party verification under REDD+ standards.</w:t>
      </w:r>
    </w:p>
    <w:p>
      <w:pPr>
        <w:pStyle w:val="FirstParagraph"/>
      </w:pPr>
      <w:r>
        <w:t xml:space="preserve">The subsequent sections demonstrate how systematic application of data cube principles reduces activity data uncertainty from typical scene-based levels of 35-45% to optimized values of 15-25%, directly protecting carbon credit revenues through lower ART-TREES uncertainty deductions while maintaining scientific rigor required for MRV compliance.</w:t>
      </w:r>
    </w:p>
    <w:p>
      <w:pPr>
        <w:pStyle w:val="SourceCode"/>
      </w:pPr>
      <w:r>
        <w:rPr>
          <w:rStyle w:val="CommentTok"/>
        </w:rPr>
        <w:t xml:space="preserve"># Environment Setup</w:t>
      </w:r>
      <w:r>
        <w:br/>
      </w:r>
      <w:r>
        <w:rPr>
          <w:rStyle w:val="CommentTok"/>
        </w:rPr>
        <w:t xml:space="preserve"># ------------------------</w:t>
      </w:r>
      <w:r>
        <w:br/>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3"/>
    <w:bookmarkEnd w:id="174"/>
    <w:bookmarkStart w:id="178" w:name="time-series-structure"/>
    <w:p>
      <w:pPr>
        <w:pStyle w:val="Heading2"/>
      </w:pPr>
      <w:r>
        <w:t xml:space="preserve">3.1 Time Series Structure</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 For purpose of REDD+ land monitoring, we consider the data cube structure to consist of:</w:t>
      </w:r>
    </w:p>
    <w:p>
      <w:pPr>
        <w:pStyle w:val="Compact"/>
        <w:numPr>
          <w:ilvl w:val="0"/>
          <w:numId w:val="1071"/>
        </w:numPr>
      </w:pPr>
      <w:r>
        <w:t xml:space="preserve">Spatial dimensions: Longitude (x) and latitude (y)</w:t>
      </w:r>
    </w:p>
    <w:p>
      <w:pPr>
        <w:pStyle w:val="Compact"/>
        <w:numPr>
          <w:ilvl w:val="0"/>
          <w:numId w:val="1071"/>
        </w:numPr>
      </w:pPr>
      <w:r>
        <w:t xml:space="preserve">Temporal dimension: Observation dates (t)</w:t>
      </w:r>
    </w:p>
    <w:p>
      <w:pPr>
        <w:pStyle w:val="Compact"/>
        <w:numPr>
          <w:ilvl w:val="0"/>
          <w:numId w:val="1071"/>
        </w:numPr>
      </w:pPr>
      <w:r>
        <w:t xml:space="preserve">Spectral dimension: Sensor bands (λ)</w:t>
      </w:r>
    </w:p>
    <w:p>
      <w:pPr>
        <w:pStyle w:val="Compact"/>
        <w:numPr>
          <w:ilvl w:val="0"/>
          <w:numId w:val="1071"/>
        </w:numPr>
      </w:pPr>
      <w:r>
        <w:t xml:space="preserve">Attributes: Land cover class, uncertainty metrics, model residuals</w:t>
      </w:r>
    </w:p>
    <w:p>
      <w:pPr>
        <w:pStyle w:val="FirstParagraph"/>
      </w:pPr>
      <w:r>
        <w:t xml:space="preserve">In the following sections (3.2-3.7), we demonstrate user-friendly operations from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time series workflows</w:t>
      </w:r>
      <w:r>
        <w:t xml:space="preserve"> </w:t>
      </w:r>
      <w:r>
        <w:t xml:space="preserve">(Appel &amp; Pebesma, 2019a; Simoes et al., 2021b)</w:t>
      </w:r>
      <w:r>
        <w:t xml:space="preserve">. These tools integrate machine learning classification with data cube management and raster processing. This approach is particularly valuable for REDD+ workflows because it supports uncertainty-based optimization of both data cube architecture and classifier training</w:t>
      </w:r>
      <w:r>
        <w:t xml:space="preserve"> </w:t>
      </w:r>
      <w:r>
        <w:t xml:space="preserve">(Appel &amp; Pebesma, 2019b)</w:t>
      </w:r>
      <w:r>
        <w:t xml:space="preserve">. Sections 3.8-3.9 then cover advanced procedures from the</w:t>
      </w:r>
      <w:r>
        <w:t xml:space="preserve"> </w:t>
      </w:r>
      <w:r>
        <w:rPr>
          <w:rStyle w:val="VerbatimChar"/>
        </w:rPr>
        <w:t xml:space="preserve">caret</w:t>
      </w:r>
      <w:r>
        <w:t xml:space="preserve"> </w:t>
      </w:r>
      <w:r>
        <w:t xml:space="preserve">and</w:t>
      </w:r>
      <w:r>
        <w:t xml:space="preserve"> </w:t>
      </w:r>
      <w:r>
        <w:rPr>
          <w:rStyle w:val="VerbatimChar"/>
        </w:rPr>
        <w:t xml:space="preserve">terra</w:t>
      </w:r>
      <w:r>
        <w:t xml:space="preserve"> </w:t>
      </w:r>
      <w:r>
        <w:t xml:space="preserve">packages, including cross-validation and Monte Carlo training simulations for accuracy assessment and model calibration.</w:t>
      </w:r>
    </w:p>
    <w:p>
      <w:pPr>
        <w:pStyle w:val="CaptionedFigure"/>
      </w:pPr>
      <w:r>
        <w:drawing>
          <wp:inline>
            <wp:extent cx="5943600" cy="5943600"/>
            <wp:effectExtent b="0" l="0" r="0" t="0"/>
            <wp:docPr descr="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 title="" id="176" name="Picture"/>
            <a:graphic>
              <a:graphicData uri="http://schemas.openxmlformats.org/drawingml/2006/picture">
                <pic:pic>
                  <pic:nvPicPr>
                    <pic:cNvPr descr="03-activity-data/assets/images/png/datacube_static_clean.png" id="177" name="Picture"/>
                    <pic:cNvPicPr>
                      <a:picLocks noChangeArrowheads="1" noChangeAspect="1"/>
                    </pic:cNvPicPr>
                  </pic:nvPicPr>
                  <pic:blipFill>
                    <a:blip r:embed="rId1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w:t>
      </w:r>
    </w:p>
    <w:bookmarkEnd w:id="178"/>
    <w:bookmarkStart w:id="185"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library of connections</w:t>
      </w:r>
      <w:r>
        <w:rPr>
          <w:rStyle w:val="FootnoteReference"/>
        </w:rPr>
        <w:footnoteReference w:id="179"/>
      </w:r>
      <w:r>
        <w:t xml:space="preserve"> </w:t>
      </w:r>
      <w:r>
        <w:t xml:space="preserve">to ARD collections (</w:t>
      </w:r>
      <w:hyperlink r:id="rId180">
        <w:r>
          <w:rPr>
            <w:rStyle w:val="Hyperlink"/>
          </w:rPr>
          <w:t xml:space="preserve">Analysis-Ready-Data</w:t>
        </w:r>
      </w:hyperlink>
      <w:r>
        <w:t xml:space="preserve">) via STAC protocols (</w:t>
      </w:r>
      <w:hyperlink r:id="rId181">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73"/>
        </w:numPr>
      </w:pPr>
      <w:r>
        <w:t xml:space="preserve">Spatial harmonization: Band-specific resolutions require harmonization to common grid avoiding edge anomalies and gaps</w:t>
      </w:r>
    </w:p>
    <w:p>
      <w:pPr>
        <w:pStyle w:val="Compact"/>
        <w:numPr>
          <w:ilvl w:val="0"/>
          <w:numId w:val="1073"/>
        </w:numPr>
      </w:pPr>
      <w:r>
        <w:t xml:space="preserve">Temporal harmonization: Revisit cycles vary due to orbital geometry, platform scheduling, and atmospheric conditions</w:t>
      </w:r>
    </w:p>
    <w:p>
      <w:pPr>
        <w:pStyle w:val="Compact"/>
        <w:numPr>
          <w:ilvl w:val="0"/>
          <w:numId w:val="1073"/>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74"/>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74"/>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82" name="Picture"/>
                  <a:graphic>
                    <a:graphicData uri="http://schemas.openxmlformats.org/drawingml/2006/picture">
                      <pic:pic>
                        <pic:nvPicPr>
                          <pic:cNvPr descr="/Applications/quarto/share/formats/docx/tip.png" id="1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75"/>
              </w:numPr>
            </w:pPr>
            <w:r>
              <w:t xml:space="preserve">Stratification: Validation samples must account for tile boundaries to avoid spatial clustering</w:t>
            </w:r>
          </w:p>
          <w:p>
            <w:pPr>
              <w:pStyle w:val="Compact"/>
              <w:numPr>
                <w:ilvl w:val="0"/>
                <w:numId w:val="1075"/>
              </w:numPr>
            </w:pPr>
            <w:r>
              <w:t xml:space="preserve">Co-registration: Cross-sensor fusion (Landsat-Sentinel) requires explicit handling of differing grid systems</w:t>
            </w:r>
          </w:p>
          <w:p>
            <w:pPr>
              <w:pStyle w:val="Compact"/>
              <w:numPr>
                <w:ilvl w:val="0"/>
                <w:numId w:val="1075"/>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84"/>
      </w:r>
      <w:r>
        <w:t xml:space="preserve"> </w:t>
      </w:r>
      <w:r>
        <w:t xml:space="preserve">Following assembly, we normalize raw imagery into a bi-monthly regularized cube below. We specified 10 multispectral bands spanning visible through shortwave infrared wavelengths (B02-B12), plus the B8A narrow NIR band and the CLOUD quality mask for atmospheric filtering.</w:t>
      </w:r>
    </w:p>
    <w:p>
      <w:pPr>
        <w:pStyle w:val="BodyText"/>
      </w:pPr>
      <w:r>
        <w:t xml:space="preserve">The temporal coverage captured 23 cloud-filtered acquisition dates at irregular intervals determined by Sentinel-2’s orbital cycle and atmospheric conditions. This raw cube contains heterogeneous spatial resolutions (10m for visible bands, 20m for red-edge/SWIR) and irregular temporal spacing, requiring normalization before classification (Section 3.3). The complete data cube assembly procedure is detailed in Section 3.11.</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5"/>
    <w:bookmarkStart w:id="189"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significant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BodyText"/>
      </w:pPr>
      <w:r>
        <w:t xml:space="preserve">Three normalization procedures were implemented to ensure spatiotemporally harmonized analysis-ready dataset:</w:t>
      </w:r>
    </w:p>
    <w:p>
      <w:pPr>
        <w:pStyle w:val="Compact"/>
        <w:numPr>
          <w:ilvl w:val="0"/>
          <w:numId w:val="1076"/>
        </w:numPr>
      </w:pPr>
      <w:r>
        <w:t xml:space="preserve">Local Download: The cloud-hosted imagery was copied to local storage to accelerate subsequent processing and avoid network interruptions during computationally intensive operations. This step is particularly important for large jurisdictional monitoring areas where repeated cloud access would create bottlenecks.</w:t>
      </w:r>
    </w:p>
    <w:p>
      <w:pPr>
        <w:pStyle w:val="Compact"/>
        <w:numPr>
          <w:ilvl w:val="0"/>
          <w:numId w:val="1076"/>
        </w:numPr>
      </w:pPr>
      <w:r>
        <w:t xml:space="preserve">Spatial-Temporal Regularization: The heterogeneous cube was transformed into a regular grid using the following parameters:</w:t>
      </w:r>
    </w:p>
    <w:p>
      <w:pPr>
        <w:pStyle w:val="Compact"/>
        <w:numPr>
          <w:ilvl w:val="1"/>
          <w:numId w:val="1077"/>
        </w:numPr>
      </w:pPr>
      <w:r>
        <w:t xml:space="preserve">Spatial resolution: 40m uniform pixel spacing (harmonizing the native 10m/20m bands)</w:t>
      </w:r>
    </w:p>
    <w:p>
      <w:pPr>
        <w:pStyle w:val="Compact"/>
        <w:numPr>
          <w:ilvl w:val="1"/>
          <w:numId w:val="1077"/>
        </w:numPr>
      </w:pPr>
      <w:r>
        <w:t xml:space="preserve">Temporal resolution: 16-day intervals (P16D) aligned with standard phenological monitoring cycles</w:t>
      </w:r>
    </w:p>
    <w:p>
      <w:pPr>
        <w:pStyle w:val="Compact"/>
        <w:numPr>
          <w:ilvl w:val="1"/>
          <w:numId w:val="1077"/>
        </w:numPr>
      </w:pPr>
      <w:r>
        <w:t xml:space="preserve">Cloud compositing: For each 16-day period, cloud-free pixels were prioritized; gaps filled through temporal interpolation</w:t>
      </w:r>
    </w:p>
    <w:p>
      <w:pPr>
        <w:pStyle w:val="Compact"/>
        <w:numPr>
          <w:ilvl w:val="1"/>
          <w:numId w:val="1077"/>
        </w:numPr>
      </w:pPr>
      <w:r>
        <w:t xml:space="preserve">Coordinate system: Maintained original UTM Zone 20S projection</w:t>
      </w:r>
    </w:p>
    <w:p>
      <w:pPr>
        <w:pStyle w:val="FirstParagraph"/>
      </w:pPr>
      <w:r>
        <w:t xml:space="preserve">This regularization addresses both spatial misalignment between bands and temporal gaps from cloud contamination, the latter being a critical source of activity data bias in REDD+ monitoring when forest clearing coincides with persistent cloud cover.</w:t>
      </w:r>
    </w:p>
    <w:p>
      <w:pPr>
        <w:pStyle w:val="Compact"/>
        <w:numPr>
          <w:ilvl w:val="0"/>
          <w:numId w:val="1078"/>
        </w:numPr>
      </w:pPr>
      <w:r>
        <w:t xml:space="preserve">Spectral Index Derivation: Three vegetation indices were calculated and added to the cube as additional analytical bands:</w:t>
      </w:r>
    </w:p>
    <w:p>
      <w:pPr>
        <w:pStyle w:val="Compact"/>
        <w:numPr>
          <w:ilvl w:val="1"/>
          <w:numId w:val="1079"/>
        </w:numPr>
      </w:pPr>
      <w:r>
        <w:t xml:space="preserve">NDVI (Normalized Difference Vegetation Index): (NIR - Red) / (NIR + Red); general vegetation vigor</w:t>
      </w:r>
    </w:p>
    <w:p>
      <w:pPr>
        <w:pStyle w:val="Compact"/>
        <w:numPr>
          <w:ilvl w:val="1"/>
          <w:numId w:val="1079"/>
        </w:numPr>
      </w:pPr>
      <w:r>
        <w:t xml:space="preserve">NBR (Normalized Burn Ratio): (NIR - SWIR2) / (NIR + SWIR2) — burn scar and deforestation detection</w:t>
      </w:r>
    </w:p>
    <w:p>
      <w:pPr>
        <w:pStyle w:val="Compact"/>
        <w:numPr>
          <w:ilvl w:val="1"/>
          <w:numId w:val="1079"/>
        </w:numPr>
      </w:pPr>
      <w:r>
        <w:t xml:space="preserve">EVI (Enhanced Vegetation Index): 2.5 × (NIR - Red) / (NIR + 6×Red - 7.5×Blue + 1); reduces atmospheric effects</w:t>
      </w:r>
    </w:p>
    <w:p>
      <w:pPr>
        <w:pStyle w:val="FirstParagraph"/>
      </w:pPr>
      <w:r>
        <w:t xml:space="preserve">The regularized cube structure shows 13 spectral attributes (10 original bands + 3 indices) organized in a spatiotemporal array spanning 23 temporal steps at 40m resolution (see cube structure below). Implementation details are provided in Section 3.11</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7" name="Picture"/>
            <a:graphic>
              <a:graphicData uri="http://schemas.openxmlformats.org/drawingml/2006/picture">
                <pic:pic>
                  <pic:nvPicPr>
                    <pic:cNvPr descr="03-activity-data/index_files/figure-docx/unnamed-chunk-5-1.png" id="188" name="Picture"/>
                    <pic:cNvPicPr>
                      <a:picLocks noChangeArrowheads="1" noChangeAspect="1"/>
                    </pic:cNvPicPr>
                  </pic:nvPicPr>
                  <pic:blipFill>
                    <a:blip r:embed="rId186"/>
                    <a:stretch>
                      <a:fillRect/>
                    </a:stretch>
                  </pic:blipFill>
                  <pic:spPr bwMode="auto">
                    <a:xfrm>
                      <a:off x="0" y="0"/>
                      <a:ext cx="5943600" cy="4754880"/>
                    </a:xfrm>
                    <a:prstGeom prst="rect">
                      <a:avLst/>
                    </a:prstGeom>
                    <a:noFill/>
                    <a:ln w="9525">
                      <a:noFill/>
                      <a:headEnd/>
                      <a:tailEnd/>
                    </a:ln>
                  </pic:spPr>
                </pic:pic>
              </a:graphicData>
            </a:graphic>
          </wp:inline>
        </w:drawing>
      </w:r>
    </w:p>
    <w:bookmarkEnd w:id="189"/>
    <w:bookmarkStart w:id="193"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80"/>
        </w:numPr>
      </w:pPr>
      <w:r>
        <w:rPr>
          <w:rStyle w:val="VerbatimChar"/>
        </w:rPr>
        <w:t xml:space="preserve">Clear_Cut_Bare_Soil</w:t>
      </w:r>
      <w:r>
        <w:t xml:space="preserve">: Post-clearing exposed soil</w:t>
      </w:r>
    </w:p>
    <w:p>
      <w:pPr>
        <w:pStyle w:val="Compact"/>
        <w:numPr>
          <w:ilvl w:val="0"/>
          <w:numId w:val="1080"/>
        </w:numPr>
      </w:pPr>
      <w:r>
        <w:rPr>
          <w:rStyle w:val="VerbatimChar"/>
        </w:rPr>
        <w:t xml:space="preserve">Clear_Cut_Burned_Area</w:t>
      </w:r>
      <w:r>
        <w:t xml:space="preserve">: Burned clearing residues</w:t>
      </w:r>
    </w:p>
    <w:p>
      <w:pPr>
        <w:pStyle w:val="Compact"/>
        <w:numPr>
          <w:ilvl w:val="0"/>
          <w:numId w:val="1080"/>
        </w:numPr>
      </w:pPr>
      <w:r>
        <w:rPr>
          <w:rStyle w:val="VerbatimChar"/>
        </w:rPr>
        <w:t xml:space="preserve">Clear_Cut_Vegetation</w:t>
      </w:r>
      <w:r>
        <w:t xml:space="preserve">: Regrowth or residual vegetation post-harvest</w:t>
      </w:r>
    </w:p>
    <w:p>
      <w:pPr>
        <w:pStyle w:val="Compact"/>
        <w:numPr>
          <w:ilvl w:val="0"/>
          <w:numId w:val="108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8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We imported the</w:t>
      </w:r>
      <w:r>
        <w:t xml:space="preserve"> </w:t>
      </w:r>
      <w:r>
        <w:rPr>
          <w:rStyle w:val="VerbatimChar"/>
        </w:rPr>
        <w:t xml:space="preserve">samples_deforestation_rondonia</w:t>
      </w:r>
      <w:r>
        <w:t xml:space="preserve"> </w:t>
      </w:r>
      <w:r>
        <w:t xml:space="preserve">reference dataset (n=6,007 labeled time series) from the sitsdata package. This dataset represents expert visual interpretation of Sentinel-2 imagery across nine forest disturbance classes spanning the 2022 monitoring period. The class distribution shows reasonable balance across deforestation stages, with</w:t>
      </w:r>
      <w:r>
        <w:t xml:space="preserve"> </w:t>
      </w:r>
      <w:r>
        <w:rPr>
          <w:rStyle w:val="VerbatimChar"/>
        </w:rPr>
        <w:t xml:space="preserve">Riparian_Forest</w:t>
      </w:r>
      <w:r>
        <w:t xml:space="preserve"> </w:t>
      </w:r>
      <w:r>
        <w:t xml:space="preserve">(20.8%) and</w:t>
      </w:r>
      <w:r>
        <w:t xml:space="preserve"> </w:t>
      </w:r>
      <w:r>
        <w:rPr>
          <w:rStyle w:val="VerbatimChar"/>
        </w:rPr>
        <w:t xml:space="preserve">Clear_Cut_Burned_Area</w:t>
      </w:r>
      <w:r>
        <w:t xml:space="preserve"> </w:t>
      </w:r>
      <w:r>
        <w:t xml:space="preserve">(16.4%) as the most represented classes, while rare classes like Water (1.8%) and Wetland (3.6%) have sufficient samples for model training (&gt;100 observations each). Each training sample consists of:</w:t>
      </w:r>
    </w:p>
    <w:p>
      <w:pPr>
        <w:pStyle w:val="Compact"/>
        <w:numPr>
          <w:ilvl w:val="0"/>
          <w:numId w:val="1081"/>
        </w:numPr>
      </w:pPr>
      <w:r>
        <w:t xml:space="preserve">Spatial coordinates: Longitude/latitude in WGS84</w:t>
      </w:r>
    </w:p>
    <w:p>
      <w:pPr>
        <w:pStyle w:val="Compact"/>
        <w:numPr>
          <w:ilvl w:val="0"/>
          <w:numId w:val="1081"/>
        </w:numPr>
      </w:pPr>
      <w:r>
        <w:t xml:space="preserve">Temporal extent: 2022-01-05 to 2022-12-23 (23 acquisition dates)</w:t>
      </w:r>
    </w:p>
    <w:p>
      <w:pPr>
        <w:pStyle w:val="Compact"/>
        <w:numPr>
          <w:ilvl w:val="0"/>
          <w:numId w:val="1081"/>
        </w:numPr>
      </w:pPr>
      <w:r>
        <w:t xml:space="preserve">Spectral values: 10 Sentinel-2 bands at 16-day intervals</w:t>
      </w:r>
    </w:p>
    <w:p>
      <w:pPr>
        <w:pStyle w:val="Compact"/>
        <w:numPr>
          <w:ilvl w:val="0"/>
          <w:numId w:val="1081"/>
        </w:numPr>
      </w:pPr>
      <w:r>
        <w:t xml:space="preserve">Class label: One of nine disturbance categories</w:t>
      </w:r>
    </w:p>
    <w:p>
      <w:pPr>
        <w:pStyle w:val="Compact"/>
        <w:numPr>
          <w:ilvl w:val="0"/>
          <w:numId w:val="1081"/>
        </w:numPr>
      </w:pPr>
      <w:r>
        <w:t xml:space="preserve">Cube reference: Source imagery identification</w:t>
      </w:r>
    </w:p>
    <w:p>
      <w:pPr>
        <w:pStyle w:val="FirstParagraph"/>
      </w:pPr>
      <w:r>
        <w:t xml:space="preserve">The temporal span aligns with the agricultural calendar to capture seasonal dynamics of forest-to-agriculture conversion, including dry-season clearing (May-June) followed by burning (August-September). This phenological coverage is critical for distinguishing between deforestation stages using time series classification</w:t>
      </w:r>
    </w:p>
    <w:p>
      <w:pPr>
        <w:pStyle w:val="BodyText"/>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91" name="Picture"/>
            <a:graphic>
              <a:graphicData uri="http://schemas.openxmlformats.org/drawingml/2006/picture">
                <pic:pic>
                  <pic:nvPicPr>
                    <pic:cNvPr descr="03-activity-data/index_files/figure-docx/unnamed-chunk-8-1.png" id="192" name="Picture"/>
                    <pic:cNvPicPr>
                      <a:picLocks noChangeArrowheads="1" noChangeAspect="1"/>
                    </pic:cNvPicPr>
                  </pic:nvPicPr>
                  <pic:blipFill>
                    <a:blip r:embed="rId19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assess spectral separability between classes—a key determinant of classification uncertainty—we calculated vegetation indices (NDVI, EVI, NBR) for all training samples and extracted class-specific temporal patterns using generalized additive models (GAM). These smoothed signatures represent idealized phenological trajectories for each disturbance class.</w:t>
      </w:r>
    </w:p>
    <w:p>
      <w:pPr>
        <w:pStyle w:val="BodyText"/>
      </w:pPr>
      <w:r>
        <w:t xml:space="preserve">The temporal patterns (Figure X) reveal distinct phenological contrasts that enable classification:</w:t>
      </w:r>
    </w:p>
    <w:p>
      <w:pPr>
        <w:pStyle w:val="Compact"/>
        <w:numPr>
          <w:ilvl w:val="0"/>
          <w:numId w:val="1082"/>
        </w:numPr>
      </w:pPr>
      <w:r>
        <w:rPr>
          <w:rStyle w:val="VerbatimChar"/>
        </w:rPr>
        <w:t xml:space="preserve">Forest</w:t>
      </w:r>
      <w:r>
        <w:t xml:space="preserve"> </w:t>
      </w:r>
      <w:r>
        <w:t xml:space="preserve">classes: (Forest, Mountainside_Forest, Riparian_Forest): High stable NDVI/EVI (&gt;0.7) throughout the year, with minimal seasonal variation reflecting evergreen tropical forest characteristics</w:t>
      </w:r>
    </w:p>
    <w:p>
      <w:pPr>
        <w:pStyle w:val="Compact"/>
        <w:numPr>
          <w:ilvl w:val="0"/>
          <w:numId w:val="1082"/>
        </w:numPr>
      </w:pPr>
      <w:r>
        <w:rPr>
          <w:rStyle w:val="VerbatimChar"/>
        </w:rPr>
        <w:t xml:space="preserve">Clear_Cut_Bare_Soil</w:t>
      </w:r>
      <w:r>
        <w:t xml:space="preserve">: Abrupt decline in all indices coinciding with clearing events, with NDVI dropping to &lt;0.2</w:t>
      </w:r>
    </w:p>
    <w:p>
      <w:pPr>
        <w:pStyle w:val="Compact"/>
        <w:numPr>
          <w:ilvl w:val="0"/>
          <w:numId w:val="1082"/>
        </w:numPr>
      </w:pPr>
      <w:r>
        <w:rPr>
          <w:rStyle w:val="VerbatimChar"/>
        </w:rPr>
        <w:t xml:space="preserve">Clear_Cut_Burned_Area</w:t>
      </w:r>
      <w:r>
        <w:t xml:space="preserve">: Sharp SWIR spike (low NBR values ~-0.3) during August-September dry season, indicating active burning</w:t>
      </w:r>
    </w:p>
    <w:p>
      <w:pPr>
        <w:pStyle w:val="Compact"/>
        <w:numPr>
          <w:ilvl w:val="0"/>
          <w:numId w:val="1082"/>
        </w:numPr>
      </w:pPr>
      <w:r>
        <w:rPr>
          <w:rStyle w:val="VerbatimChar"/>
        </w:rPr>
        <w:t xml:space="preserve">Clear_Cut_Vegetation</w:t>
      </w:r>
      <w:r>
        <w:t xml:space="preserve">: Gradual NIR/NDVI recovery through the monitoring period, showing regrowth trajectories</w:t>
      </w:r>
    </w:p>
    <w:p>
      <w:pPr>
        <w:pStyle w:val="Compact"/>
        <w:numPr>
          <w:ilvl w:val="0"/>
          <w:numId w:val="1082"/>
        </w:numPr>
      </w:pPr>
      <w:r>
        <w:rPr>
          <w:rStyle w:val="VerbatimChar"/>
        </w:rPr>
        <w:t xml:space="preserve">Water/Wetland</w:t>
      </w:r>
      <w:r>
        <w:t xml:space="preserve"> </w:t>
      </w:r>
      <w:r>
        <w:t xml:space="preserve">classes: Consistently low NDVI (&lt;0.3) with seasonal fluctuations in EVI reflecting inundation cycles</w:t>
      </w:r>
    </w:p>
    <w:p>
      <w:pPr>
        <w:pStyle w:val="FirstParagraph"/>
      </w:pPr>
      <w:r>
        <w:t xml:space="preserve">These temporal contrasts provide the spectral-temporal feature space for subsequent Random Forest classification. Classes with overlapping signatures (e.g., Seasonally_Flooded vs. Wetland) represent known confusion sources requiring careful validation.</w:t>
      </w:r>
    </w:p>
    <w:bookmarkEnd w:id="193"/>
    <w:bookmarkStart w:id="198"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BodyText"/>
      </w:pPr>
      <w:r>
        <w:t xml:space="preserve">We trained a Random Forest classifier using the following hyperparameters optimized for satellite time series classification:</w:t>
      </w:r>
    </w:p>
    <w:p>
      <w:pPr>
        <w:pStyle w:val="Compact"/>
        <w:numPr>
          <w:ilvl w:val="0"/>
          <w:numId w:val="1083"/>
        </w:numPr>
      </w:pPr>
      <w:r>
        <w:t xml:space="preserve">Number of trees: 120 (balancing accuracy and computational efficiency)</w:t>
      </w:r>
    </w:p>
    <w:p>
      <w:pPr>
        <w:pStyle w:val="Compact"/>
        <w:numPr>
          <w:ilvl w:val="0"/>
          <w:numId w:val="1083"/>
        </w:numPr>
      </w:pPr>
      <w:r>
        <w:t xml:space="preserve">Variables per split (</w:t>
      </w:r>
      <w:r>
        <w:rPr>
          <w:rStyle w:val="VerbatimChar"/>
        </w:rPr>
        <w:t xml:space="preserve">mtry</w:t>
      </w:r>
      <w:r>
        <w:t xml:space="preserve">): 10 (approximately √p where p = total features)</w:t>
      </w:r>
    </w:p>
    <w:p>
      <w:pPr>
        <w:pStyle w:val="Compact"/>
        <w:numPr>
          <w:ilvl w:val="0"/>
          <w:numId w:val="1083"/>
        </w:numPr>
      </w:pPr>
      <w:r>
        <w:t xml:space="preserve">Training samples: 6,007 labeled time series across 9 classes</w:t>
      </w:r>
    </w:p>
    <w:p>
      <w:pPr>
        <w:pStyle w:val="Compact"/>
        <w:numPr>
          <w:ilvl w:val="0"/>
          <w:numId w:val="1083"/>
        </w:numPr>
      </w:pPr>
      <w:r>
        <w:t xml:space="preserve">Input features: 10 spectral bands × 23 temporal observations = 230 features per sample</w:t>
      </w:r>
    </w:p>
    <w:p>
      <w:pPr>
        <w:pStyle w:val="FirstParagraph"/>
      </w:pPr>
      <w:r>
        <w:t xml:space="preserve">The Random Forest algorithm constructs an ensemble of decision trees through bootstrap aggregation (bagging), where each tree trains on a random subset of samples and features. Final predictions aggregate votes across all trees, providing robust performance without requiring extensive hyperparameter tuning, critical for operational REDD+ systems where model calibration time is constrained.</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5" name="Picture"/>
            <a:graphic>
              <a:graphicData uri="http://schemas.openxmlformats.org/drawingml/2006/picture">
                <pic:pic>
                  <pic:nvPicPr>
                    <pic:cNvPr descr="03-activity-data/index_files/figure-docx/unnamed-chunk-9-1.png" id="196" name="Picture"/>
                    <pic:cNvPicPr>
                      <a:picLocks noChangeArrowheads="1" noChangeAspect="1"/>
                    </pic:cNvPicPr>
                  </pic:nvPicPr>
                  <pic:blipFill>
                    <a:blip r:embed="rId194"/>
                    <a:stretch>
                      <a:fillRect/>
                    </a:stretch>
                  </pic:blipFill>
                  <pic:spPr bwMode="auto">
                    <a:xfrm>
                      <a:off x="0" y="0"/>
                      <a:ext cx="5943600" cy="4754880"/>
                    </a:xfrm>
                    <a:prstGeom prst="rect">
                      <a:avLst/>
                    </a:prstGeom>
                    <a:noFill/>
                    <a:ln w="9525">
                      <a:noFill/>
                      <a:headEnd/>
                      <a:tailEnd/>
                    </a:ln>
                  </pic:spPr>
                </pic:pic>
              </a:graphicData>
            </a:graphic>
          </wp:inline>
        </w:drawing>
      </w:r>
    </w:p>
    <w:bookmarkStart w:id="197" w:name="variable-importance"/>
    <w:p>
      <w:pPr>
        <w:pStyle w:val="Heading4"/>
      </w:pPr>
      <w:r>
        <w:t xml:space="preserve">Variable Importance</w:t>
      </w:r>
    </w:p>
    <w:p>
      <w:pPr>
        <w:pStyle w:val="FirstParagraph"/>
      </w:pPr>
      <w:r>
        <w:t xml:space="preserve">The feature importance ranking (Figure X) identifies which bands and temporal observations contribute most to class discrimination:</w:t>
      </w:r>
    </w:p>
    <w:p>
      <w:pPr>
        <w:pStyle w:val="Compact"/>
        <w:numPr>
          <w:ilvl w:val="0"/>
          <w:numId w:val="1084"/>
        </w:numPr>
      </w:pPr>
      <w:r>
        <w:t xml:space="preserve">SWIR bands (B11, B12) show highest importance, confirming importance to deforestation detection due to sensitivity to bare soil</w:t>
      </w:r>
    </w:p>
    <w:p>
      <w:pPr>
        <w:pStyle w:val="Compact"/>
        <w:numPr>
          <w:ilvl w:val="0"/>
          <w:numId w:val="1084"/>
        </w:numPr>
      </w:pPr>
      <w:r>
        <w:t xml:space="preserve">NIR bands (B8A, B08) rank second, critical for vegetation structure and biomass proxies</w:t>
      </w:r>
    </w:p>
    <w:p>
      <w:pPr>
        <w:pStyle w:val="Compact"/>
        <w:numPr>
          <w:ilvl w:val="0"/>
          <w:numId w:val="1084"/>
        </w:numPr>
      </w:pPr>
      <w:r>
        <w:t xml:space="preserve">Temporal depth matters: Later-season observations September-November carry weights (post-clearing phenology)</w:t>
      </w:r>
    </w:p>
    <w:p>
      <w:pPr>
        <w:pStyle w:val="Compact"/>
        <w:numPr>
          <w:ilvl w:val="0"/>
          <w:numId w:val="1084"/>
        </w:numPr>
      </w:pPr>
      <w:r>
        <w:t xml:space="preserve">Red-edge bands (B05-B07) provide moderate importance, useful for subtle degradation detection</w:t>
      </w:r>
    </w:p>
    <w:p>
      <w:pPr>
        <w:pStyle w:val="FirstParagraph"/>
      </w:pPr>
      <w:r>
        <w:t xml:space="preserve">Vairable importance ranking informs:</w:t>
      </w:r>
    </w:p>
    <w:p>
      <w:pPr>
        <w:numPr>
          <w:ilvl w:val="0"/>
          <w:numId w:val="1085"/>
        </w:numPr>
      </w:pPr>
      <w:r>
        <w:t xml:space="preserve">Sensor planning: Prioritizing SWIR channels in future satellite missions</w:t>
      </w:r>
    </w:p>
    <w:p>
      <w:pPr>
        <w:numPr>
          <w:ilvl w:val="0"/>
          <w:numId w:val="1085"/>
        </w:numPr>
      </w:pPr>
      <w:r>
        <w:t xml:space="preserve">Uncertainty attribution: SWIR-band errors propagate more strongly into final classifications</w:t>
      </w:r>
    </w:p>
    <w:p>
      <w:pPr>
        <w:numPr>
          <w:ilvl w:val="0"/>
          <w:numId w:val="1085"/>
        </w:numPr>
      </w:pPr>
      <w:r>
        <w:t xml:space="preserve">Transfer learning: When adapting models to new regions, maintaining SWIR coverage is essential.</w:t>
      </w:r>
    </w:p>
    <w:bookmarkEnd w:id="197"/>
    <w:bookmarkEnd w:id="198"/>
    <w:bookmarkStart w:id="202"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 trained Random Forest model was applied to the regularized data cube using parallelized classification across 4 processing cores with 16GB memory allocation. Rather than producing discrete class labels, the classification generates a probability cube where each pixel contains membership probabilities for all nine classes (summing to 1.0).</w:t>
      </w:r>
    </w:p>
    <w:p>
      <w:pPr>
        <w:pStyle w:val="BodyText"/>
      </w:pPr>
      <w:r>
        <w:rPr>
          <w:b/>
          <w:bCs/>
        </w:rPr>
        <w:t xml:space="preserve">Why Probability Cubes Matter:</w:t>
      </w:r>
    </w:p>
    <w:p>
      <w:pPr>
        <w:pStyle w:val="BodyText"/>
      </w:pPr>
      <w:r>
        <w:t xml:space="preserve">Traditional discrete classifications discard critical uncertainty information. Probability cubes preserve pixel-level model confidence, enabling:</w:t>
      </w:r>
    </w:p>
    <w:p>
      <w:pPr>
        <w:pStyle w:val="Compact"/>
        <w:numPr>
          <w:ilvl w:val="0"/>
          <w:numId w:val="1086"/>
        </w:numPr>
      </w:pPr>
      <w:r>
        <w:t xml:space="preserve">Uncertainty mapping: Low maximum probability values indicate high uncertainty at class boundaries or in mixed pixels</w:t>
      </w:r>
    </w:p>
    <w:p>
      <w:pPr>
        <w:pStyle w:val="Compact"/>
        <w:numPr>
          <w:ilvl w:val="0"/>
          <w:numId w:val="1086"/>
        </w:numPr>
      </w:pPr>
      <w:r>
        <w:t xml:space="preserve">Adaptive validation: High-uncertainty regions receive greater sampling density during accuracy assessment</w:t>
      </w:r>
    </w:p>
    <w:p>
      <w:pPr>
        <w:pStyle w:val="Compact"/>
        <w:numPr>
          <w:ilvl w:val="0"/>
          <w:numId w:val="1086"/>
        </w:numPr>
      </w:pPr>
      <w:r>
        <w:t xml:space="preserve">Monte Carlo propagation: Probability distributions feed directly into emission uncertainty simulations (Chapter 4)</w:t>
      </w:r>
    </w:p>
    <w:p>
      <w:pPr>
        <w:pStyle w:val="Compact"/>
        <w:numPr>
          <w:ilvl w:val="0"/>
          <w:numId w:val="1086"/>
        </w:numPr>
      </w:pPr>
      <w:r>
        <w:t xml:space="preserve">Temporal change detection: Probability time series detect gradual transitions but missed discrete labeling</w:t>
      </w:r>
    </w:p>
    <w:p>
      <w:pPr>
        <w:pStyle w:val="FirstParagraph"/>
      </w:pPr>
      <w:r>
        <w:t xml:space="preserve">The Forest class probability layer (Figure X) shows high confidence (p &gt; 0.9, dark green) in intact forest areas, with lower probabilities (p = 0.4-0.7, light green) along forest edges and in degraded patches. These spatial patterns of uncertainty directly inform subsequent validation stratification and area estimation.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200" name="Picture"/>
            <a:graphic>
              <a:graphicData uri="http://schemas.openxmlformats.org/drawingml/2006/picture">
                <pic:pic>
                  <pic:nvPicPr>
                    <pic:cNvPr descr="https://raw.githubusercontent.com/training-resource/uncertainty/refs/heads/main/03-activity-data/assets/images/png/activity-data-d.png" id="201" name="Picture"/>
                    <pic:cNvPicPr>
                      <a:picLocks noChangeArrowheads="1" noChangeAspect="1"/>
                    </pic:cNvPicPr>
                  </pic:nvPicPr>
                  <pic:blipFill>
                    <a:blip r:embed="rId199"/>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87"/>
        </w:numPr>
      </w:pPr>
      <w:r>
        <w:t xml:space="preserve">Adaptive stratification: High-uncertainty pixels receive higher validation sampling density</w:t>
      </w:r>
    </w:p>
    <w:p>
      <w:pPr>
        <w:pStyle w:val="Compact"/>
        <w:numPr>
          <w:ilvl w:val="0"/>
          <w:numId w:val="1087"/>
        </w:numPr>
      </w:pPr>
      <w:r>
        <w:t xml:space="preserve">Uncertainty propagation: Probability distributions feed Monte Carlo emission simulations</w:t>
      </w:r>
    </w:p>
    <w:p>
      <w:pPr>
        <w:pStyle w:val="Compact"/>
        <w:numPr>
          <w:ilvl w:val="0"/>
          <w:numId w:val="1087"/>
        </w:numPr>
      </w:pPr>
      <w:r>
        <w:t xml:space="preserve">Quality control: Spatial patterns of low confidence identify systematic classification errors</w:t>
      </w:r>
    </w:p>
    <w:p>
      <w:pPr>
        <w:pStyle w:val="Compact"/>
        <w:numPr>
          <w:ilvl w:val="0"/>
          <w:numId w:val="1087"/>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202"/>
    <w:bookmarkStart w:id="291"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12"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 This margin is defined as the difference between the highest and second-highest class probabilities (Margin = p₁ - p₂), where low values approaching zero indicate ambiguous pixels where the classifier struggles to discriminate between competing classes.</w:t>
      </w:r>
    </w:p>
    <w:p>
      <w:pPr>
        <w:pStyle w:val="BodyText"/>
      </w:pPr>
      <w:r>
        <w:t xml:space="preserve">The margin uncertainty cube reveals spatial patterns of classification difficulty across the landscape. High uncertainty concentrations appear along forest-agriculture boundaries where mixed pixels contain both forest and bare soil signatures, within wetland complexes where spectral similarity confuses Seasonally_Flooded and Wetland classes, and across regeneration zones where</w:t>
      </w:r>
      <w:r>
        <w:t xml:space="preserve"> </w:t>
      </w:r>
      <w:r>
        <w:rPr>
          <w:rStyle w:val="VerbatimChar"/>
        </w:rPr>
        <w:t xml:space="preserve">Clear_Cut_Vegetation</w:t>
      </w:r>
      <w:r>
        <w:t xml:space="preserve"> </w:t>
      </w:r>
      <w:r>
        <w:t xml:space="preserve">becomes spectrally ambiguous with early-stage</w:t>
      </w:r>
      <w:r>
        <w:t xml:space="preserve"> </w:t>
      </w:r>
      <w:r>
        <w:rPr>
          <w:rStyle w:val="VerbatimChar"/>
        </w:rPr>
        <w:t xml:space="preserve">Forest</w:t>
      </w:r>
      <w:r>
        <w:t xml:space="preserve"> </w:t>
      </w:r>
      <w:r>
        <w:t xml:space="preserve">regrowth. To systematically improve these problematic areas, we identified 300 candidate locations for additional training samples using a minimum uncertainty threshold of margin &lt; 0.4 with 10-pixel minimum spacing to ensure geographic dispersion. These samples, once labeled through expert interpretation and merged with the original training set for iterative model refinement, typically drive uncertainty convergence within 2-3 iterations.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204" name="Picture"/>
            <a:graphic>
              <a:graphicData uri="http://schemas.openxmlformats.org/drawingml/2006/picture">
                <pic:pic>
                  <pic:nvPicPr>
                    <pic:cNvPr descr="https://raw.githubusercontent.com/training-resource/uncertainty/refs/heads/main/03-activity-data/assets/images/png/activity-data-l1.png" id="205" name="Picture"/>
                    <pic:cNvPicPr>
                      <a:picLocks noChangeArrowheads="1" noChangeAspect="1"/>
                    </pic:cNvPicPr>
                  </pic:nvPicPr>
                  <pic:blipFill>
                    <a:blip r:embed="rId203"/>
                    <a:stretch>
                      <a:fillRect/>
                    </a:stretch>
                  </pic:blipFill>
                  <pic:spPr bwMode="auto">
                    <a:xfrm>
                      <a:off x="0" y="0"/>
                      <a:ext cx="5943600" cy="3672295"/>
                    </a:xfrm>
                    <a:prstGeom prst="rect">
                      <a:avLst/>
                    </a:prstGeom>
                    <a:noFill/>
                    <a:ln w="9525">
                      <a:noFill/>
                      <a:headEnd/>
                      <a:tailEnd/>
                    </a:ln>
                  </pic:spPr>
                </pic:pic>
              </a:graphicData>
            </a:graphic>
          </wp:inline>
        </w:drawing>
      </w:r>
    </w:p>
    <w:p>
      <w:pPr>
        <w:pStyle w:val="BodyText"/>
      </w:pPr>
      <w:r>
        <w:t xml:space="preserve">After extracting spectral signatures for the 300 high-uncertainty locations and retraining the Random Forest model with the expanded dataset (n_total = 6,307), we compared uncertainty maps between model versions to assess improvement. The side-by-side visualizations showed subtle spatial differences, with version 2 exhibiting slightly reduced uncertainty in previously ambiguous forest-wetland transitions. However, the convergence metrics revealed a counterintuitive result where mean uncertainty actually increased slightly in version 2. This pattern suggests that the additional samples exposed previously undetected class overlaps rather than resolving them, revealing legitimate spectral ambiguity that existed but wasn’t apparent in the original training set. This demonstrates an important REDD+ lesson: adding training samples doesn’t always reduce uncertainty, and proper convergence requires multiple iterations with strategic sample selection until uncertainty metrics stabilize.</w:t>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7" name="Picture"/>
            <a:graphic>
              <a:graphicData uri="http://schemas.openxmlformats.org/drawingml/2006/picture">
                <pic:pic>
                  <pic:nvPicPr>
                    <pic:cNvPr descr="03-activity-data/index_files/figure-docx/unnamed-chunk-13-1.png" id="208" name="Picture"/>
                    <pic:cNvPicPr>
                      <a:picLocks noChangeArrowheads="1" noChangeAspect="1"/>
                    </pic:cNvPicPr>
                  </pic:nvPicPr>
                  <pic:blipFill>
                    <a:blip r:embed="rId20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11"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9" name="Picture"/>
                  <a:graphic>
                    <a:graphicData uri="http://schemas.openxmlformats.org/drawingml/2006/picture">
                      <pic:pic>
                        <pic:nvPicPr>
                          <pic:cNvPr descr="https://raw.githubusercontent.com/training-resource/uncertainty/refs/heads/main/03-activity-data/assets/images/png/activity-data-l1.png" id="210" name="Picture"/>
                          <pic:cNvPicPr>
                            <a:picLocks noChangeArrowheads="1" noChangeAspect="1"/>
                          </pic:cNvPicPr>
                        </pic:nvPicPr>
                        <pic:blipFill>
                          <a:blip r:embed="rId203"/>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11"/>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6"/>
        <w:gridCol w:w="1193"/>
        <w:gridCol w:w="1695"/>
        <w:gridCol w:w="1389"/>
        <w:gridCol w:w="1976"/>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99.66006</w:t>
            </w:r>
          </w:p>
        </w:tc>
      </w:tr>
      <w:tr>
        <w:trPr>
          <w:trHeight w:val="59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12"/>
    <w:bookmarkStart w:id="226" w:name="hierarchical-clustering"/>
    <w:p>
      <w:pPr>
        <w:pStyle w:val="Heading3"/>
      </w:pPr>
      <w:r>
        <w:t xml:space="preserve">Hierarchical Clustering</w:t>
      </w:r>
    </w:p>
    <w:p>
      <w:pPr>
        <w:pStyle w:val="FirstParagraph"/>
      </w:pPr>
      <w:r>
        <w:t xml:space="preserve">We implemented two clustering approaches for evaluating training data quality based on dataset size: Agglomerative Hierarchical Clustering (</w:t>
      </w:r>
      <w:r>
        <w:rPr>
          <w:rStyle w:val="VerbatimChar"/>
        </w:rPr>
        <w:t xml:space="preserve">AHC</w:t>
      </w:r>
      <w:r>
        <w:t xml:space="preserve">) for datasets under 10,000 samples, and Self-Organizing Maps (SOM) for larger collections (Gonçalves et al., 2008; Neagoe et al., 2014; Yao et al., 2016). The computational complexity difference is significant—AHC operates at O(n²) requiring substantial memory, while SOM scales linearly, making it preferable for operational REDD+ monitoring systems processing large reference datasets.</w:t>
      </w:r>
    </w:p>
    <w:p>
      <w:pPr>
        <w:pStyle w:val="BodyText"/>
      </w:pPr>
      <w:r>
        <w:t xml:space="preserve">Hierarchical clustering computes dissimilarity between samples using dynamic time warping (DTW), which reliably measures differences in satellite time series by accounting for temporal shifts in phenological patterns (Maus et al., 2019; Petitjean et al., 2012). The sits_cluster_dendro() function generates dendrograms using</w:t>
      </w:r>
      <w:r>
        <w:t xml:space="preserve"> </w:t>
      </w:r>
      <w:r>
        <w:rPr>
          <w:rStyle w:val="VerbatimChar"/>
        </w:rPr>
        <w:t xml:space="preserve">DTW</w:t>
      </w:r>
      <w:r>
        <w:t xml:space="preserve"> </w:t>
      </w:r>
      <w:r>
        <w:t xml:space="preserve">distance with Ward’s linkage criterion to minimize within-cluster variance, applied here to NDVI and EVI time series spanning 23 temporal observations per sample. The adjusted Rand index (Rand, 1971) identified seven as the optimal cluster count, and examining the resulting cluster composition revealed distinct groupings that illuminate class separability and potential quality issues.</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14" name="Picture"/>
            <a:graphic>
              <a:graphicData uri="http://schemas.openxmlformats.org/drawingml/2006/picture">
                <pic:pic>
                  <pic:nvPicPr>
                    <pic:cNvPr descr="https://raw.githubusercontent.com/training-resource/uncertainty/refs/heads/main/03-activity-data/assets/images/png/activity-data-g.png" id="215" name="Picture"/>
                    <pic:cNvPicPr>
                      <a:picLocks noChangeArrowheads="1" noChangeAspect="1"/>
                    </pic:cNvPicPr>
                  </pic:nvPicPr>
                  <pic:blipFill>
                    <a:blip r:embed="rId213"/>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Cluster 4 strongly dominated by</w:t>
      </w:r>
      <w:r>
        <w:t xml:space="preserve"> </w:t>
      </w:r>
      <w:r>
        <w:rPr>
          <w:rStyle w:val="VerbatimChar"/>
        </w:rPr>
        <w:t xml:space="preserve">Clear-cut</w:t>
      </w:r>
      <w:r>
        <w:t xml:space="preserve"> </w:t>
      </w:r>
      <w:r>
        <w:t xml:space="preserve">classes with 705</w:t>
      </w:r>
      <w:r>
        <w:t xml:space="preserve"> </w:t>
      </w:r>
      <w:r>
        <w:rPr>
          <w:rStyle w:val="VerbatimChar"/>
        </w:rPr>
        <w:t xml:space="preserve">Bare_Soil</w:t>
      </w:r>
      <w:r>
        <w:t xml:space="preserve"> </w:t>
      </w:r>
      <w:r>
        <w:t xml:space="preserve">and 874</w:t>
      </w:r>
      <w:r>
        <w:t xml:space="preserve"> </w:t>
      </w:r>
      <w:r>
        <w:rPr>
          <w:rStyle w:val="VerbatimChar"/>
        </w:rPr>
        <w:t xml:space="preserve">Burned_Area</w:t>
      </w:r>
      <w:r>
        <w:t xml:space="preserve"> </w:t>
      </w:r>
      <w:r>
        <w:t xml:space="preserve">samples (1,579 total) demonstrated strong spectral-temporal similarity among cleared areas, while Cluster 2 contained predominantly forest types with 732</w:t>
      </w:r>
      <w:r>
        <w:t xml:space="preserve"> </w:t>
      </w:r>
      <w:r>
        <w:rPr>
          <w:rStyle w:val="VerbatimChar"/>
        </w:rPr>
        <w:t xml:space="preserve">Forest</w:t>
      </w:r>
      <w:r>
        <w:t xml:space="preserve">, 327</w:t>
      </w:r>
      <w:r>
        <w:t xml:space="preserve"> </w:t>
      </w:r>
      <w:r>
        <w:rPr>
          <w:rStyle w:val="VerbatimChar"/>
        </w:rPr>
        <w:t xml:space="preserve">Riparian</w:t>
      </w:r>
      <w:r>
        <w:t xml:space="preserve">, and 145</w:t>
      </w:r>
      <w:r>
        <w:t xml:space="preserve"> </w:t>
      </w:r>
      <w:r>
        <w:rPr>
          <w:rStyle w:val="VerbatimChar"/>
        </w:rPr>
        <w:t xml:space="preserve">Mountainside</w:t>
      </w:r>
      <w:r>
        <w:t xml:space="preserve"> </w:t>
      </w:r>
      <w:r>
        <w:t xml:space="preserve">samples (1,204 total), confirming these classes share fundamental phenological characteristics. Conversely, Cluster 5 showed high mixture across multiple classes with the lowest purity, suggesting these 89 samples occupy ambiguous spectral space representing either mislabeled observations, edge pixels with mixed land cover, or transitional states not well-represented by discrete classes. We removed Cluster 5 entirely from the training set, and after retaining only dominant labels within remaining clusters through the</w:t>
      </w:r>
      <w:r>
        <w:t xml:space="preserve"> </w:t>
      </w:r>
      <w:r>
        <w:rPr>
          <w:rStyle w:val="VerbatimChar"/>
        </w:rPr>
        <w:t xml:space="preserve">sits_cluster_clean()</w:t>
      </w:r>
      <w:r>
        <w:t xml:space="preserve"> </w:t>
      </w:r>
      <w:r>
        <w:t xml:space="preserve">function, the refined dataset contained 5,893 samples with improved class purity, with only 25 additional samples removed from other clusters.</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0" w:name="fig-som-a"/>
                <w:p>
                  <w:pPr>
                    <w:pStyle w:val="Compact"/>
                    <w:jc w:val="center"/>
                    <w:jc w:val="left"/>
                  </w:pPr>
                  <w:bookmarkStart w:id="219" w:name="fig-som-a"/>
                  <w:r>
                    <w:drawing>
                      <wp:inline>
                        <wp:extent cx="5943600" cy="5057146"/>
                        <wp:effectExtent b="0" l="0" r="0" t="0"/>
                        <wp:docPr descr="" title="" id="217" name="Picture"/>
                        <a:graphic>
                          <a:graphicData uri="http://schemas.openxmlformats.org/drawingml/2006/picture">
                            <pic:pic>
                              <pic:nvPicPr>
                                <pic:cNvPr descr="https://raw.githubusercontent.com/training-resource/uncertainty/refs/heads/main/03-activity-data/assets/images/png/activity-data-h1.png" id="218" name="Picture"/>
                                <pic:cNvPicPr>
                                  <a:picLocks noChangeArrowheads="1" noChangeAspect="1"/>
                                </pic:cNvPicPr>
                              </pic:nvPicPr>
                              <pic:blipFill>
                                <a:blip r:embed="rId216"/>
                                <a:stretch>
                                  <a:fillRect/>
                                </a:stretch>
                              </pic:blipFill>
                              <pic:spPr bwMode="auto">
                                <a:xfrm>
                                  <a:off x="0" y="0"/>
                                  <a:ext cx="5943600" cy="5057146"/>
                                </a:xfrm>
                                <a:prstGeom prst="rect">
                                  <a:avLst/>
                                </a:prstGeom>
                                <a:noFill/>
                                <a:ln w="9525">
                                  <a:noFill/>
                                  <a:headEnd/>
                                  <a:tailEnd/>
                                </a:ln>
                              </pic:spPr>
                            </pic:pic>
                          </a:graphicData>
                        </a:graphic>
                      </wp:inline>
                    </w:drawing>
                  </w:r>
                  <w:bookmarkEnd w:id="219"/>
                </w:p>
                <w:p>
                  <w:pPr>
                    <w:jc w:val="center"/>
                    <w:jc w:val="left"/>
                  </w:pPr>
                  <w:pPr>
                    <w:jc w:val="start"/>
                    <w:spacing w:before="200"/>
                    <w:pStyle w:val="ImageCaption"/>
                  </w:pPr>
                  <w:r>
                    <w:t xml:space="preserve">Figure 3.2</w:t>
                  </w:r>
                </w:p>
                <w:bookmarkEnd w:id="220"/>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5" w:name="fig-som-freq"/>
                <w:p>
                  <w:pPr>
                    <w:pStyle w:val="Compact"/>
                    <w:jc w:val="center"/>
                    <w:jc w:val="left"/>
                  </w:pPr>
                  <w:bookmarkStart w:id="224" w:name="fig-som-freq"/>
                  <w:r>
                    <w:drawing>
                      <wp:inline>
                        <wp:extent cx="5943600" cy="4782364"/>
                        <wp:effectExtent b="0" l="0" r="0" t="0"/>
                        <wp:docPr descr="" title="" id="222" name="Picture"/>
                        <a:graphic>
                          <a:graphicData uri="http://schemas.openxmlformats.org/drawingml/2006/picture">
                            <pic:pic>
                              <pic:nvPicPr>
                                <pic:cNvPr descr="https://raw.githubusercontent.com/training-resource/uncertainty/refs/heads/main/03-activity-data/assets/images/png/activity-data-h2.png" id="223" name="Picture"/>
                                <pic:cNvPicPr>
                                  <a:picLocks noChangeArrowheads="1" noChangeAspect="1"/>
                                </pic:cNvPicPr>
                              </pic:nvPicPr>
                              <pic:blipFill>
                                <a:blip r:embed="rId221"/>
                                <a:stretch>
                                  <a:fillRect/>
                                </a:stretch>
                              </pic:blipFill>
                              <pic:spPr bwMode="auto">
                                <a:xfrm>
                                  <a:off x="0" y="0"/>
                                  <a:ext cx="5943600" cy="4782364"/>
                                </a:xfrm>
                                <a:prstGeom prst="rect">
                                  <a:avLst/>
                                </a:prstGeom>
                                <a:noFill/>
                                <a:ln w="9525">
                                  <a:noFill/>
                                  <a:headEnd/>
                                  <a:tailEnd/>
                                </a:ln>
                              </pic:spPr>
                            </pic:pic>
                          </a:graphicData>
                        </a:graphic>
                      </wp:inline>
                    </w:drawing>
                  </w:r>
                  <w:bookmarkEnd w:id="224"/>
                </w:p>
                <w:p>
                  <w:pPr>
                    <w:jc w:val="center"/>
                    <w:jc w:val="left"/>
                  </w:pPr>
                  <w:pPr>
                    <w:jc w:val="start"/>
                    <w:spacing w:before="200"/>
                    <w:pStyle w:val="ImageCaption"/>
                  </w:pPr>
                  <w:r>
                    <w:t xml:space="preserve">Figure 3.3</w:t>
                  </w:r>
                </w:p>
                <w:bookmarkEnd w:id="225"/>
              </w:tc>
            </w:tr>
          </w:tbl>
          <w:p/>
        </w:tc>
      </w:tr>
    </w:tbl>
    <w:bookmarkEnd w:id="226"/>
    <w:bookmarkStart w:id="227" w:name="self-organizing-maps"/>
    <w:p>
      <w:pPr>
        <w:pStyle w:val="Heading3"/>
      </w:pPr>
      <w:r>
        <w:rPr>
          <w:b/>
          <w:bCs/>
        </w:rPr>
        <w:t xml:space="preserve">Self-Organizing Maps</w:t>
      </w:r>
    </w:p>
    <w:p>
      <w:pPr>
        <w:pStyle w:val="FirstParagraph"/>
      </w:pPr>
      <w:r>
        <w:t xml:space="preserve">For larger datasets exceeding 10,000 samples, Self-Organizing Maps provide a computationally efficient alternative through unsupervised learning that projects high-dimensional time series onto two-dimensional grids while preserving topological relationships. The sits_som_map() function configured with 10×10 neurons (100 total cells) and DTW distance metric organizes samples such that similar signatures map to nearby neurons, with learning parameters alpha=1.0 and rlen=20 following standard Kohonen optimization. Applied to the full spectral-temporal dataset (10 bands × 23 dates), the SOM evaluation plot reveals class distribution patterns across the neural grid that indicate data quality and class separability.</w:t>
      </w:r>
    </w:p>
    <w:p>
      <w:pPr>
        <w:pStyle w:val="BodyText"/>
      </w:pPr>
      <w:r>
        <w:t xml:space="preserve">Single-class neurons appearing as pure colored cells indicate well-separated classes with distinct spectral signatures, while mixed neurons containing multiple colors reveal spectral confusion requiring investigation, and empty gray cells suggest gaps in feature space not represented by training samples. The SOM frequency map showing neuron activation patterns identifies high-density neurons containing many similar samples and low-density neurons that may represent outliers or rare spectral conditions. Samples from mixed neurons were flagged for expert review, and the SOM-based cleaning through</w:t>
      </w:r>
      <w:r>
        <w:t xml:space="preserve"> </w:t>
      </w:r>
      <w:r>
        <w:rPr>
          <w:rStyle w:val="VerbatimChar"/>
        </w:rPr>
        <w:t xml:space="preserve">sits_som_clean_samples</w:t>
      </w:r>
      <w:r>
        <w:t xml:space="preserve">() removed observations from neurons containing multiple classes, improving overall dataset purity while maintaining within-class variability essential for model generalization. This approach proves particularly valuable for operational REDD+ systems processing large reference datasets collected through crowdsourcing or automated methods where quality control becomes challenging at scale.</w:t>
      </w:r>
    </w:p>
    <w:bookmarkEnd w:id="227"/>
    <w:bookmarkStart w:id="237" w:name="class-imbalances"/>
    <w:p>
      <w:pPr>
        <w:pStyle w:val="Heading3"/>
      </w:pPr>
      <w:r>
        <w:t xml:space="preserve">Class Imbalances</w:t>
      </w:r>
    </w:p>
    <w:p>
      <w:pPr>
        <w:pStyle w:val="FirstParagraph"/>
      </w:pPr>
      <w:r>
        <w:t xml:space="preserve">Imbalanced training sets bias classifiers toward over-represented classes and inflate omission errors for rare forest types, which poses particular problems when those rare classes represent critical high-carbon-stock forests for REDD+ accounting. Our original dataset showed significant imbalance with</w:t>
      </w:r>
      <w:r>
        <w:t xml:space="preserve"> </w:t>
      </w:r>
      <w:r>
        <w:rPr>
          <w:rStyle w:val="VerbatimChar"/>
        </w:rPr>
        <w:t xml:space="preserve">Riparian_Forest</w:t>
      </w:r>
      <w:r>
        <w:t xml:space="preserve"> </w:t>
      </w:r>
      <w:r>
        <w:t xml:space="preserve">at 20.8% and</w:t>
      </w:r>
      <w:r>
        <w:t xml:space="preserve"> </w:t>
      </w:r>
      <w:r>
        <w:rPr>
          <w:rStyle w:val="VerbatimChar"/>
        </w:rPr>
        <w:t xml:space="preserve">Clear_Cut_Burned_Area</w:t>
      </w:r>
      <w:r>
        <w:t xml:space="preserve"> </w:t>
      </w:r>
      <w:r>
        <w:t xml:space="preserve">at 16.4% dominating, while Water at 1.8% and Wetland at 3.6% remained severely under-represented. This 11:1 ratio between majority and minority classes causes Random Forest algorithms to under-predict rare classes through implicit class-frequency weighting during tree construction.</w:t>
      </w:r>
    </w:p>
    <w:p>
      <w:pPr>
        <w:pStyle w:val="BodyText"/>
      </w:pPr>
      <w:r>
        <w:t xml:space="preserve">We applied a hybrid resampling strategy through sits_reduce_imbalance() that combines oversampling and undersampling approaches to achieve balanced representation. The Synthetic Minority Over-sampling Technique (SMOTE) generated synthetic samples for rare classes below 200 observations by creating realistic time series through interpolation between existing samples in feature space, while random undersampling removed samples from majority classes exceeding 400 observations to match minority class frequencies. This dual approach targets all classes toward a 200-400 sample range, reducing the majority:minority ratio from 11:1 to 2:1 while avoiding the pitfalls of either strategy alone—oversampling prevents discarding potentially informative data from majority classes, while undersampling reduces computational load.</w:t>
      </w:r>
    </w:p>
    <w:p>
      <w:pPr>
        <w:pStyle w:val="BodyText"/>
      </w:pPr>
      <w:r>
        <w:t xml:space="preserve">The post-balancing summary demonstrated dramatically improved class distribution with all nine classes falling within the target range, and comparing SOM visualizations before and after balancing revealed the transformation from large clusters dominated by</w:t>
      </w:r>
      <w:r>
        <w:t xml:space="preserve"> </w:t>
      </w:r>
      <w:r>
        <w:rPr>
          <w:rStyle w:val="VerbatimChar"/>
        </w:rPr>
        <w:t xml:space="preserve">Riparian_Forest</w:t>
      </w:r>
      <w:r>
        <w:t xml:space="preserve"> </w:t>
      </w:r>
      <w:r>
        <w:t xml:space="preserve">and</w:t>
      </w:r>
      <w:r>
        <w:t xml:space="preserve"> </w:t>
      </w:r>
      <w:r>
        <w:rPr>
          <w:rStyle w:val="VerbatimChar"/>
        </w:rPr>
        <w:t xml:space="preserve">Clear_Cut_Burned_Area</w:t>
      </w:r>
      <w:r>
        <w:t xml:space="preserve"> </w:t>
      </w:r>
      <w:r>
        <w:t xml:space="preserve">to more uniform distribution across the neural grid with better representation of minority classes. This balanced training improves classifier sensitivity to rare forest types such as degraded riparian forests and seasonally flooded forests that may have high carbon stocks but low spatial extent, directly reducing omission errors in activity data—a critical source of conservative bias in emission estimates under REDD+ accounting frameworks.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32" w:name="fig-som-b"/>
                <w:p>
                  <w:pPr>
                    <w:pStyle w:val="Compact"/>
                    <w:jc w:val="center"/>
                    <w:jc w:val="left"/>
                  </w:pPr>
                  <w:bookmarkStart w:id="231" w:name="fig-som-b"/>
                  <w:r>
                    <w:drawing>
                      <wp:inline>
                        <wp:extent cx="5943600" cy="5063336"/>
                        <wp:effectExtent b="0" l="0" r="0" t="0"/>
                        <wp:docPr descr="" title="" id="229" name="Picture"/>
                        <a:graphic>
                          <a:graphicData uri="http://schemas.openxmlformats.org/drawingml/2006/picture">
                            <pic:pic>
                              <pic:nvPicPr>
                                <pic:cNvPr descr="https://raw.githubusercontent.com/training-resource/uncertainty/refs/heads/main/03-activity-data/assets/images/png/activity-data-i1.png" id="230" name="Picture"/>
                                <pic:cNvPicPr>
                                  <a:picLocks noChangeArrowheads="1" noChangeAspect="1"/>
                                </pic:cNvPicPr>
                              </pic:nvPicPr>
                              <pic:blipFill>
                                <a:blip r:embed="rId228"/>
                                <a:stretch>
                                  <a:fillRect/>
                                </a:stretch>
                              </pic:blipFill>
                              <pic:spPr bwMode="auto">
                                <a:xfrm>
                                  <a:off x="0" y="0"/>
                                  <a:ext cx="5943600" cy="5063336"/>
                                </a:xfrm>
                                <a:prstGeom prst="rect">
                                  <a:avLst/>
                                </a:prstGeom>
                                <a:noFill/>
                                <a:ln w="9525">
                                  <a:noFill/>
                                  <a:headEnd/>
                                  <a:tailEnd/>
                                </a:ln>
                              </pic:spPr>
                            </pic:pic>
                          </a:graphicData>
                        </a:graphic>
                      </wp:inline>
                    </w:drawing>
                  </w:r>
                  <w:bookmarkEnd w:id="231"/>
                </w:p>
                <w:p>
                  <w:pPr>
                    <w:jc w:val="center"/>
                    <w:jc w:val="left"/>
                  </w:pPr>
                  <w:pPr>
                    <w:jc w:val="start"/>
                    <w:spacing w:before="200"/>
                    <w:pStyle w:val="ImageCaption"/>
                  </w:pPr>
                  <w:r>
                    <w:t xml:space="preserve">Figure 3.4</w:t>
                  </w:r>
                </w:p>
                <w:bookmarkEnd w:id="232"/>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36" w:name="fig-som-c"/>
                <w:p>
                  <w:pPr>
                    <w:pStyle w:val="Compact"/>
                    <w:jc w:val="center"/>
                    <w:jc w:val="left"/>
                  </w:pPr>
                  <w:bookmarkStart w:id="235" w:name="fig-som-c"/>
                  <w:r>
                    <w:drawing>
                      <wp:inline>
                        <wp:extent cx="5943600" cy="5057146"/>
                        <wp:effectExtent b="0" l="0" r="0" t="0"/>
                        <wp:docPr descr="" title="" id="233" name="Picture"/>
                        <a:graphic>
                          <a:graphicData uri="http://schemas.openxmlformats.org/drawingml/2006/picture">
                            <pic:pic>
                              <pic:nvPicPr>
                                <pic:cNvPr descr="https://raw.githubusercontent.com/training-resource/uncertainty/refs/heads/main/03-activity-data/assets/images/png/activity-data-h1.png" id="234" name="Picture"/>
                                <pic:cNvPicPr>
                                  <a:picLocks noChangeArrowheads="1" noChangeAspect="1"/>
                                </pic:cNvPicPr>
                              </pic:nvPicPr>
                              <pic:blipFill>
                                <a:blip r:embed="rId216"/>
                                <a:stretch>
                                  <a:fillRect/>
                                </a:stretch>
                              </pic:blipFill>
                              <pic:spPr bwMode="auto">
                                <a:xfrm>
                                  <a:off x="0" y="0"/>
                                  <a:ext cx="5943600" cy="5057146"/>
                                </a:xfrm>
                                <a:prstGeom prst="rect">
                                  <a:avLst/>
                                </a:prstGeom>
                                <a:noFill/>
                                <a:ln w="9525">
                                  <a:noFill/>
                                  <a:headEnd/>
                                  <a:tailEnd/>
                                </a:ln>
                              </pic:spPr>
                            </pic:pic>
                          </a:graphicData>
                        </a:graphic>
                      </wp:inline>
                    </w:drawing>
                  </w:r>
                  <w:bookmarkEnd w:id="235"/>
                </w:p>
                <w:p>
                  <w:pPr>
                    <w:jc w:val="center"/>
                    <w:jc w:val="left"/>
                  </w:pPr>
                  <w:pPr>
                    <w:jc w:val="start"/>
                    <w:spacing w:before="200"/>
                    <w:pStyle w:val="ImageCaption"/>
                  </w:pPr>
                  <w:r>
                    <w:t xml:space="preserve">Figure 3.5</w:t>
                  </w:r>
                </w:p>
                <w:bookmarkEnd w:id="236"/>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bookmarkEnd w:id="237"/>
    <w:bookmarkStart w:id="241" w:name="geographic-variance"/>
    <w:p>
      <w:pPr>
        <w:pStyle w:val="Heading3"/>
      </w:pPr>
      <w:r>
        <w:t xml:space="preserve">Geographic Variance</w:t>
      </w:r>
    </w:p>
    <w:p>
      <w:pPr>
        <w:pStyle w:val="FirstParagraph"/>
      </w:pPr>
      <w:r>
        <w:t xml:space="preserve">Training samples must capture spatial variability across the entire monitoring jurisdiction to avoid geographic bias where clustered sampling creates gaps with higher prediction uncertainty due to extrapolation beyond training data conditions (Meyer &amp; Pebesma, 2022). The sits_geo_dist() function quantifies this coverage by comparing two distance distributions: sample-to-sample distances measuring how far apart training points are from each other, and prediction-location-to-sample distances measuring how far each pixel in the study area lies from its nearest training sample. Ideally these distributions should align closely, indicating that every prediction location falls within the same distance range as the training samples are from each other, while mismatched distributions reveal insufficient spatial coverage in certain regions.</w:t>
      </w:r>
    </w:p>
    <w:p>
      <w:pPr>
        <w:pStyle w:val="BodyText"/>
      </w:pPr>
      <w:r>
        <w:t xml:space="preserve">The distance distribution plot comparing these two curves identifies geographic gaps where the prediction-to-sample curve extends beyond the sample-to-sample curve, indicating regions requiring additional sampling. For jurisdictional REDD+ monitoring, these gaps often occur in remote protected areas with limited field access, recent deforestation hotspots not captured during original sampling campaigns, and ecotonal boundaries with unique spectral characteristics that deviate from the main training distribution. Addressing these geographic gaps through targeted field campaigns reduces spatial uncertainty and improves model transferability across the full monitoring domain, ensuring that classification accuracy remains consistent rather than degrading in under-sampled regions where verification may be most critical.</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9" name="Picture"/>
            <a:graphic>
              <a:graphicData uri="http://schemas.openxmlformats.org/drawingml/2006/picture">
                <pic:pic>
                  <pic:nvPicPr>
                    <pic:cNvPr descr="https://raw.githubusercontent.com/training-resource/uncertainty/refs/heads/main/03-activity-data/assets/images/png/activity-data-j.png" id="240" name="Picture"/>
                    <pic:cNvPicPr>
                      <a:picLocks noChangeArrowheads="1" noChangeAspect="1"/>
                    </pic:cNvPicPr>
                  </pic:nvPicPr>
                  <pic:blipFill>
                    <a:blip r:embed="rId238"/>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41"/>
    <w:bookmarkStart w:id="290" w:name="noise-filtering"/>
    <w:p>
      <w:pPr>
        <w:pStyle w:val="Heading3"/>
      </w:pPr>
      <w:r>
        <w:t xml:space="preserve">Noise Filtering</w:t>
      </w:r>
    </w:p>
    <w:p>
      <w:pPr>
        <w:pStyle w:val="FirstParagraph"/>
      </w:pPr>
      <w:r>
        <w:t xml:space="preserve">Satellite time series contain noise from atmospheric contamination including residual clouds and aerosols, sensor artifacts, and geometric co-registration errors that introduce random variation obscuring genuine phenological patterns. The Whittaker smoother (</w:t>
      </w:r>
      <w:r>
        <w:rPr>
          <w:rStyle w:val="VerbatimChar"/>
        </w:rPr>
        <w:t xml:space="preserve">sits_whittaker()</w:t>
      </w:r>
      <w:r>
        <w:t xml:space="preserve">) applies penalized least squares regression to balance fidelity to observed values against temporal smoothness, controlled by parameter lambda where low values preserve more detail and high values enforce stronger smoothing. Applied with conservative lambda=0.5, the filtering preserved legitimate rapid changes such as abrupt deforestation events while removing high-frequency noise that degraded classification accuracy.</w:t>
      </w:r>
    </w:p>
    <w:p>
      <w:pPr>
        <w:pStyle w:val="BodyText"/>
      </w:pPr>
      <w:r>
        <w:t xml:space="preserve">Comparing filtered versus original time series across representative classes revealed the smoothing clarified underlying temporal trends;</w:t>
      </w:r>
      <w:r>
        <w:t xml:space="preserve"> </w:t>
      </w:r>
      <w:r>
        <w:rPr>
          <w:rStyle w:val="VerbatimChar"/>
        </w:rPr>
        <w:t xml:space="preserve">Clear_Cut_Bare_Soil</w:t>
      </w:r>
      <w:r>
        <w:t xml:space="preserve"> </w:t>
      </w:r>
      <w:r>
        <w:t xml:space="preserve">showed declining</w:t>
      </w:r>
      <w:r>
        <w:t xml:space="preserve"> </w:t>
      </w:r>
      <w:r>
        <w:rPr>
          <w:rStyle w:val="VerbatimChar"/>
        </w:rPr>
        <w:t xml:space="preserve">NDVI</w:t>
      </w:r>
      <w:r>
        <w:t xml:space="preserve"> </w:t>
      </w:r>
      <w:r>
        <w:t xml:space="preserve">with sharp fluctuations reduced,</w:t>
      </w:r>
      <w:r>
        <w:t xml:space="preserve"> </w:t>
      </w:r>
      <w:r>
        <w:rPr>
          <w:rStyle w:val="VerbatimChar"/>
        </w:rPr>
        <w:t xml:space="preserve">Forest</w:t>
      </w:r>
      <w:r>
        <w:t xml:space="preserve"> </w:t>
      </w:r>
      <w:r>
        <w:t xml:space="preserve">maintained stable high-</w:t>
      </w:r>
      <w:r>
        <w:rPr>
          <w:rStyle w:val="VerbatimChar"/>
        </w:rPr>
        <w:t xml:space="preserve">NDVI</w:t>
      </w:r>
      <w:r>
        <w:t xml:space="preserve"> </w:t>
      </w:r>
      <w:r>
        <w:t xml:space="preserve">phenology with minor fluctuations eliminated,</w:t>
      </w:r>
      <w:r>
        <w:t xml:space="preserve"> </w:t>
      </w:r>
      <w:r>
        <w:rPr>
          <w:rStyle w:val="VerbatimChar"/>
        </w:rPr>
        <w:t xml:space="preserve">Clear_Cut_Burned_Area</w:t>
      </w:r>
      <w:r>
        <w:t xml:space="preserve"> </w:t>
      </w:r>
      <w:r>
        <w:t xml:space="preserve">revealed abrupt drops during burning events more clearly, and</w:t>
      </w:r>
      <w:r>
        <w:t xml:space="preserve"> </w:t>
      </w:r>
      <w:r>
        <w:rPr>
          <w:rStyle w:val="VerbatimChar"/>
        </w:rPr>
        <w:t xml:space="preserve">Seasonally_Flooded</w:t>
      </w:r>
      <w:r>
        <w:t xml:space="preserve"> </w:t>
      </w:r>
      <w:r>
        <w:t xml:space="preserve">preserved seasonal oscillation patterns while reducing measurement noise. For REDD+ applications, conservative filtering with lambda ≤ 1.0 is recommended to avoid smoothing over short-duration clearing events that represent genuine forest loss, ensuring that the filtered training samples provide cleaner inputs for model training while preserving the temporal dynamics essential for accurate activity data classification. Implementation details for all enhancement procedures are provided in Section 3.11.</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43" name="Picture"/>
                  <a:graphic>
                    <a:graphicData uri="http://schemas.openxmlformats.org/drawingml/2006/picture">
                      <pic:pic>
                        <pic:nvPicPr>
                          <pic:cNvPr descr="https://raw.githubusercontent.com/training-resource/uncertainty/refs/heads/main/03-activity-data/assets/images/png/activity-data-k1a.png" id="244" name="Picture"/>
                          <pic:cNvPicPr>
                            <a:picLocks noChangeArrowheads="1" noChangeAspect="1"/>
                          </pic:cNvPicPr>
                        </pic:nvPicPr>
                        <pic:blipFill>
                          <a:blip r:embed="rId24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6" name="Picture"/>
                  <a:graphic>
                    <a:graphicData uri="http://schemas.openxmlformats.org/drawingml/2006/picture">
                      <pic:pic>
                        <pic:nvPicPr>
                          <pic:cNvPr descr="https://raw.githubusercontent.com/training-resource/uncertainty/refs/heads/main/03-activity-data/assets/images/png/activity-data-k1b.png" id="247" name="Picture"/>
                          <pic:cNvPicPr>
                            <a:picLocks noChangeArrowheads="1" noChangeAspect="1"/>
                          </pic:cNvPicPr>
                        </pic:nvPicPr>
                        <pic:blipFill>
                          <a:blip r:embed="rId24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9" name="Picture"/>
                  <a:graphic>
                    <a:graphicData uri="http://schemas.openxmlformats.org/drawingml/2006/picture">
                      <pic:pic>
                        <pic:nvPicPr>
                          <pic:cNvPr descr="https://raw.githubusercontent.com/training-resource/uncertainty/refs/heads/main/03-activity-data/assets/images/png/activity-data-k2a.png" id="250" name="Picture"/>
                          <pic:cNvPicPr>
                            <a:picLocks noChangeArrowheads="1" noChangeAspect="1"/>
                          </pic:cNvPicPr>
                        </pic:nvPicPr>
                        <pic:blipFill>
                          <a:blip r:embed="rId24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2" name="Picture"/>
                  <a:graphic>
                    <a:graphicData uri="http://schemas.openxmlformats.org/drawingml/2006/picture">
                      <pic:pic>
                        <pic:nvPicPr>
                          <pic:cNvPr descr="https://raw.githubusercontent.com/training-resource/uncertainty/refs/heads/main/03-activity-data/assets/images/png/activity-data-k2b.png" id="253" name="Picture"/>
                          <pic:cNvPicPr>
                            <a:picLocks noChangeArrowheads="1" noChangeAspect="1"/>
                          </pic:cNvPicPr>
                        </pic:nvPicPr>
                        <pic:blipFill>
                          <a:blip r:embed="rId251"/>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55" name="Picture"/>
                  <a:graphic>
                    <a:graphicData uri="http://schemas.openxmlformats.org/drawingml/2006/picture">
                      <pic:pic>
                        <pic:nvPicPr>
                          <pic:cNvPr descr="https://raw.githubusercontent.com/training-resource/uncertainty/refs/heads/main/03-activity-data/assets/images/png/activity-data-k3a.png" id="256" name="Picture"/>
                          <pic:cNvPicPr>
                            <a:picLocks noChangeArrowheads="1" noChangeAspect="1"/>
                          </pic:cNvPicPr>
                        </pic:nvPicPr>
                        <pic:blipFill>
                          <a:blip r:embed="rId25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8" name="Picture"/>
                  <a:graphic>
                    <a:graphicData uri="http://schemas.openxmlformats.org/drawingml/2006/picture">
                      <pic:pic>
                        <pic:nvPicPr>
                          <pic:cNvPr descr="https://raw.githubusercontent.com/training-resource/uncertainty/refs/heads/main/03-activity-data/assets/images/png/activity-data-k3b.png" id="259" name="Picture"/>
                          <pic:cNvPicPr>
                            <a:picLocks noChangeArrowheads="1" noChangeAspect="1"/>
                          </pic:cNvPicPr>
                        </pic:nvPicPr>
                        <pic:blipFill>
                          <a:blip r:embed="rId25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1" name="Picture"/>
                  <a:graphic>
                    <a:graphicData uri="http://schemas.openxmlformats.org/drawingml/2006/picture">
                      <pic:pic>
                        <pic:nvPicPr>
                          <pic:cNvPr descr="https://raw.githubusercontent.com/training-resource/uncertainty/refs/heads/main/03-activity-data/assets/images/png/activity-data-k4a.png" id="262" name="Picture"/>
                          <pic:cNvPicPr>
                            <a:picLocks noChangeArrowheads="1" noChangeAspect="1"/>
                          </pic:cNvPicPr>
                        </pic:nvPicPr>
                        <pic:blipFill>
                          <a:blip r:embed="rId26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4" name="Picture"/>
                  <a:graphic>
                    <a:graphicData uri="http://schemas.openxmlformats.org/drawingml/2006/picture">
                      <pic:pic>
                        <pic:nvPicPr>
                          <pic:cNvPr descr="https://raw.githubusercontent.com/training-resource/uncertainty/refs/heads/main/03-activity-data/assets/images/png/activity-data-k4b.png" id="265" name="Picture"/>
                          <pic:cNvPicPr>
                            <a:picLocks noChangeArrowheads="1" noChangeAspect="1"/>
                          </pic:cNvPicPr>
                        </pic:nvPicPr>
                        <pic:blipFill>
                          <a:blip r:embed="rId263"/>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7" name="Picture"/>
                  <a:graphic>
                    <a:graphicData uri="http://schemas.openxmlformats.org/drawingml/2006/picture">
                      <pic:pic>
                        <pic:nvPicPr>
                          <pic:cNvPr descr="https://raw.githubusercontent.com/training-resource/uncertainty/refs/heads/main/03-activity-data/assets/images/png/activity-data-k5a.png" id="268" name="Picture"/>
                          <pic:cNvPicPr>
                            <a:picLocks noChangeArrowheads="1" noChangeAspect="1"/>
                          </pic:cNvPicPr>
                        </pic:nvPicPr>
                        <pic:blipFill>
                          <a:blip r:embed="rId26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0" name="Picture"/>
                  <a:graphic>
                    <a:graphicData uri="http://schemas.openxmlformats.org/drawingml/2006/picture">
                      <pic:pic>
                        <pic:nvPicPr>
                          <pic:cNvPr descr="https://raw.githubusercontent.com/training-resource/uncertainty/refs/heads/main/03-activity-data/assets/images/png/activity-data-k5b.png" id="271" name="Picture"/>
                          <pic:cNvPicPr>
                            <a:picLocks noChangeArrowheads="1" noChangeAspect="1"/>
                          </pic:cNvPicPr>
                        </pic:nvPicPr>
                        <pic:blipFill>
                          <a:blip r:embed="rId269"/>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3" name="Picture"/>
                  <a:graphic>
                    <a:graphicData uri="http://schemas.openxmlformats.org/drawingml/2006/picture">
                      <pic:pic>
                        <pic:nvPicPr>
                          <pic:cNvPr descr="https://raw.githubusercontent.com/training-resource/uncertainty/refs/heads/main/03-activity-data/assets/images/png/activity-data-k6a.png" id="274" name="Picture"/>
                          <pic:cNvPicPr>
                            <a:picLocks noChangeArrowheads="1" noChangeAspect="1"/>
                          </pic:cNvPicPr>
                        </pic:nvPicPr>
                        <pic:blipFill>
                          <a:blip r:embed="rId27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6" name="Picture"/>
                  <a:graphic>
                    <a:graphicData uri="http://schemas.openxmlformats.org/drawingml/2006/picture">
                      <pic:pic>
                        <pic:nvPicPr>
                          <pic:cNvPr descr="https://raw.githubusercontent.com/training-resource/uncertainty/refs/heads/main/03-activity-data/assets/images/png/activity-data-k6b.png" id="277" name="Picture"/>
                          <pic:cNvPicPr>
                            <a:picLocks noChangeArrowheads="1" noChangeAspect="1"/>
                          </pic:cNvPicPr>
                        </pic:nvPicPr>
                        <pic:blipFill>
                          <a:blip r:embed="rId275"/>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9" name="Picture"/>
                  <a:graphic>
                    <a:graphicData uri="http://schemas.openxmlformats.org/drawingml/2006/picture">
                      <pic:pic>
                        <pic:nvPicPr>
                          <pic:cNvPr descr="https://raw.githubusercontent.com/training-resource/uncertainty/refs/heads/main/03-activity-data/assets/images/png/activity-data-k7a.png" id="280" name="Picture"/>
                          <pic:cNvPicPr>
                            <a:picLocks noChangeArrowheads="1" noChangeAspect="1"/>
                          </pic:cNvPicPr>
                        </pic:nvPicPr>
                        <pic:blipFill>
                          <a:blip r:embed="rId27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2" name="Picture"/>
                  <a:graphic>
                    <a:graphicData uri="http://schemas.openxmlformats.org/drawingml/2006/picture">
                      <pic:pic>
                        <pic:nvPicPr>
                          <pic:cNvPr descr="https://raw.githubusercontent.com/training-resource/uncertainty/refs/heads/main/03-activity-data/assets/images/png/activity-data-k7b.png" id="283" name="Picture"/>
                          <pic:cNvPicPr>
                            <a:picLocks noChangeArrowheads="1" noChangeAspect="1"/>
                          </pic:cNvPicPr>
                        </pic:nvPicPr>
                        <pic:blipFill>
                          <a:blip r:embed="rId28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5" name="Picture"/>
                  <a:graphic>
                    <a:graphicData uri="http://schemas.openxmlformats.org/drawingml/2006/picture">
                      <pic:pic>
                        <pic:nvPicPr>
                          <pic:cNvPr descr="https://raw.githubusercontent.com/training-resource/uncertainty/refs/heads/main/03-activity-data/assets/images/png/activity-data-k8a.png" id="286" name="Picture"/>
                          <pic:cNvPicPr>
                            <a:picLocks noChangeArrowheads="1" noChangeAspect="1"/>
                          </pic:cNvPicPr>
                        </pic:nvPicPr>
                        <pic:blipFill>
                          <a:blip r:embed="rId28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8" name="Picture"/>
                  <a:graphic>
                    <a:graphicData uri="http://schemas.openxmlformats.org/drawingml/2006/picture">
                      <pic:pic>
                        <pic:nvPicPr>
                          <pic:cNvPr descr="https://raw.githubusercontent.com/training-resource/uncertainty/refs/heads/main/03-activity-data/assets/images/png/activity-data-k8b.png" id="289" name="Picture"/>
                          <pic:cNvPicPr>
                            <a:picLocks noChangeArrowheads="1" noChangeAspect="1"/>
                          </pic:cNvPicPr>
                        </pic:nvPicPr>
                        <pic:blipFill>
                          <a:blip r:embed="rId287"/>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90"/>
    <w:bookmarkEnd w:id="291"/>
    <w:bookmarkStart w:id="301"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surrounded by different classes represent systematic over-fitting to training data rather than true landscape heterogeneity, inflating area uncertainty and complicating change detection in REDD+ applications. The sits_smooth() function addresses this through Bayesian post-processing that incorporates spatial context from neighboring pixels to refine probability estimates. The algorithm computes spatially-weighted probability adjustments based on neighborhood composition, then updates pixel probabilities using Bayesian inference that combines original model estimates with spatial priors derived from surrounding pixels. This process produces a refined probability cube with reduced outlier effects while preserving legitimate small patches that represent genuine landscape features rather than classification artifacts.</w:t>
      </w:r>
    </w:p>
    <w:p>
      <w:pPr>
        <w:pStyle w:val="BodyText"/>
      </w:pPr>
      <w:r>
        <w:t xml:space="preserve">The smoothed Forest probability map (Figure X) demonstrates the effect—high-confidence pixels (p &gt; 0.9) appear in dark green representing intact forest cores, while transitional zones along forest edges show moderate probabilities (p = 0.4-0.7) in lighter green, reflecting genuine mixed-pixel conditions rather than random noise. Spatial smoothing affects activity data uncertainty in competing directions that must be carefully balanced. The approach reduces random error by eliminating isolated misclassifications that inflate variance, and typically improves validation agreement by aligning with human interpretation scales that naturally incorporate spatial context. However, smoothing introduces potential spatial bias by potentially smoothing over legitimate small-scale heterogeneity, and modifies probability distributions in ways that change pixel-level uncertainty estimates. For REDD+ reporting, smoothed probability cubes typically yield lower reported uncertainties due to reduced classification noise, but verification bodies may require documentation of smoothing parameters demonstrating that methodological choices preserve ecologically meaningful patterns.</w:t>
      </w:r>
    </w:p>
    <w:p>
      <w:pPr>
        <w:pStyle w:val="BodyText"/>
      </w:pPr>
      <w:r>
        <w:t xml:space="preserve">Final classified maps derive from smoothed probability cubes through maximum likelihood labeling where each pixel receives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 ensuring that uncertainty information remains accessible for subsequent Monte Carlo emission simulations. The classified cube (Figure X) showing all nine disturbance classes provides the activity data foundation for REDD+ accounting, though full uncertainty quantification requires additional analysis beyond discrete classification. The advanced procedures in Sections 3.9-3.10 using caret and terra packages address this need through stratified validation with area-adjusted accuracy assessment and Monte Carlo calibration workflows for robust uncertainty estimation. Implementation details for smoothing and labeling procedures are provided in Section 3.10.</w:t>
      </w:r>
    </w:p>
    <w:p>
      <w:pPr>
        <w:pStyle w:val="CaptionedFigure"/>
      </w:pPr>
      <w:r>
        <w:drawing>
          <wp:inline>
            <wp:extent cx="5943600" cy="3669379"/>
            <wp:effectExtent b="0" l="0" r="0" t="0"/>
            <wp:docPr descr="Smoothed probability map for class Forest." title="" id="293" name="Picture"/>
            <a:graphic>
              <a:graphicData uri="http://schemas.openxmlformats.org/drawingml/2006/picture">
                <pic:pic>
                  <pic:nvPicPr>
                    <pic:cNvPr descr="https://raw.githubusercontent.com/training-resource/uncertainty/refs/heads/main/03-activity-data/assets/images/png/activity-data-e.png" id="294" name="Picture"/>
                    <pic:cNvPicPr>
                      <a:picLocks noChangeArrowheads="1" noChangeAspect="1"/>
                    </pic:cNvPicPr>
                  </pic:nvPicPr>
                  <pic:blipFill>
                    <a:blip r:embed="rId292"/>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88"/>
              </w:numPr>
            </w:pPr>
            <w:r>
              <w:t xml:space="preserve">Reduces random error: Eliminates isolated misclassifications that inflate variance</w:t>
            </w:r>
          </w:p>
          <w:p>
            <w:pPr>
              <w:pStyle w:val="Compact"/>
              <w:numPr>
                <w:ilvl w:val="0"/>
                <w:numId w:val="1088"/>
              </w:numPr>
            </w:pPr>
            <w:r>
              <w:t xml:space="preserve">Introduces spatial bias: May smooth over legitimate small-scale heterogeneity</w:t>
            </w:r>
          </w:p>
          <w:p>
            <w:pPr>
              <w:pStyle w:val="Compact"/>
              <w:numPr>
                <w:ilvl w:val="0"/>
                <w:numId w:val="1088"/>
              </w:numPr>
            </w:pPr>
            <w:r>
              <w:t xml:space="preserve">Improves validation agreement: Better alignment with typical human interpretation scales</w:t>
            </w:r>
          </w:p>
          <w:p>
            <w:pPr>
              <w:pStyle w:val="Compact"/>
              <w:numPr>
                <w:ilvl w:val="0"/>
                <w:numId w:val="1088"/>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9" name="Picture"/>
            <a:graphic>
              <a:graphicData uri="http://schemas.openxmlformats.org/drawingml/2006/picture">
                <pic:pic>
                  <pic:nvPicPr>
                    <pic:cNvPr descr="https://raw.githubusercontent.com/training-resource/uncertainty/refs/heads/main/03-activity-data/assets/images/png/activity-data-f.png" id="300" name="Picture"/>
                    <pic:cNvPicPr>
                      <a:picLocks noChangeArrowheads="1" noChangeAspect="1"/>
                    </pic:cNvPicPr>
                  </pic:nvPicPr>
                  <pic:blipFill>
                    <a:blip r:embed="rId298"/>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89"/>
        </w:numPr>
      </w:pPr>
      <w:r>
        <w:t xml:space="preserve">Extract pixel-level probability distributions for Monte Carlo sampling (Section 3.3)</w:t>
      </w:r>
    </w:p>
    <w:p>
      <w:pPr>
        <w:pStyle w:val="Compact"/>
        <w:numPr>
          <w:ilvl w:val="0"/>
          <w:numId w:val="1089"/>
        </w:numPr>
      </w:pPr>
      <w:r>
        <w:t xml:space="preserve">Implement stratified validation with area-adjusted accuracy assessment (Section 3.4)</w:t>
      </w:r>
    </w:p>
    <w:p>
      <w:pPr>
        <w:pStyle w:val="Compact"/>
        <w:numPr>
          <w:ilvl w:val="0"/>
          <w:numId w:val="1089"/>
        </w:numPr>
      </w:pPr>
      <w:r>
        <w:t xml:space="preserve">Calibrate Random Forest hyperparameters through iterative uncertainty minimization (Section 3.5)</w:t>
      </w:r>
    </w:p>
    <w:p>
      <w:r>
        <w:pict>
          <v:rect style="width:0;height:1.5pt" o:hralign="center" o:hrstd="t" o:hr="t"/>
        </w:pict>
      </w:r>
    </w:p>
    <w:bookmarkEnd w:id="301"/>
    <w:bookmarkStart w:id="303"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To integrate sits time series data with caret-based validation workflows, we first converted the nested time series structure into a tabular feature matrix suitable for Monte Carlo simulation. For each of the 6,007 training samples, we extracted six statistical summaries across the temporal dimension: mean and standard deviation for NIR (</w:t>
      </w:r>
      <w:r>
        <w:rPr>
          <w:rStyle w:val="VerbatimChar"/>
        </w:rPr>
        <w:t xml:space="preserve">B8A</w:t>
      </w:r>
      <w:r>
        <w:t xml:space="preserve">), SWIR (</w:t>
      </w:r>
      <w:r>
        <w:rPr>
          <w:rStyle w:val="VerbatimChar"/>
        </w:rPr>
        <w:t xml:space="preserve">B11</w:t>
      </w:r>
      <w:r>
        <w:t xml:space="preserve">), and</w:t>
      </w:r>
      <w:r>
        <w:t xml:space="preserve"> </w:t>
      </w:r>
      <w:r>
        <w:rPr>
          <w:rStyle w:val="VerbatimChar"/>
        </w:rPr>
        <w:t xml:space="preserve">NDVI</w:t>
      </w:r>
      <w:r>
        <w:t xml:space="preserve">. This feature engineering reduces the 230-dimensional input space (10 bands × 23 dates) to a 6-dimensional summary statistics space that enables rapid iterative testing while maintaining discriminatory power for the nine disturbance classes. Although this simplified representation loses some temporal resolution compared to the full time series used in sits classification, it provides computational efficiency essential for Monte Carlo simulation requiring thousands of iterations to achieve ART-TREES compliance.</w:t>
      </w:r>
    </w:p>
    <w:p>
      <w:pPr>
        <w:pStyle w:val="BodyText"/>
      </w:pPr>
      <w:r>
        <w:t xml:space="preserve">Now, let’s 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302" w:name="monte-carlo-cross-validation"/>
    <w:p>
      <w:pPr>
        <w:pStyle w:val="Heading3"/>
      </w:pPr>
      <w:r>
        <w:t xml:space="preserve">Monte Carlo Cross-Validation</w:t>
      </w:r>
    </w:p>
    <w:p>
      <w:pPr>
        <w:pStyle w:val="FirstParagraph"/>
      </w:pPr>
      <w:r>
        <w:t xml:space="preserve">We implemented Monte Carlo Leave-Group-Out Cross-Validation (LGOCV) to quantify model stability and generalization capacity through repeated random partitioning. The simulation configuration used 75% calibration and 25% validation splits across 10 iterations for demonstration purposes, though ART-TREES requirements for activity data uncertainty demand 10,000 iterations for statistically robust performance estimates. This dramatic increase from demonstration to operational scale reflects the need to stabilize mean performance estimates, quantify variance across different data partitions, capture rare failure modes in specific train-test combinations, and meet statistical significance thresholds for MRV reporting. Each iteration randomly partitioned the feature dataset while maintaining class proportions, fitted a Random Forest with 120 trees optimized for Kappa statistic (which accounts for class imbalance better than raw accuracy), and generated predictions on the withheld validation set.</w:t>
      </w:r>
    </w:p>
    <w:p>
      <w:pPr>
        <w:pStyle w:val="BodyText"/>
      </w:pPr>
      <w:r>
        <w:t xml:space="preserve">The cross-validation summary demonstrates model stability across iterations with mean accuracy of 70.9% (±1.5%) and mean Kappa of 0.656 (±0.017). The low standard deviations indicate consistent performance despite random partitioning, suggesting the model generalizes well to unseen data. However, the moderate Kappa value around 0.66 indicates room for improvement through additional training samples in confused classes, hyperparameter optimization, or integration of ancillary data such as elevation or soil maps. These metrics would feed directly into ART-TREES Equation 11 for activity data uncertainty deductions, where the relative standard deviation of cross-validated predictions determines the half-width of the 90% confidence interval used in carbon credit calculations. The demonstration with 10 iterations provides proof-of-concept, but operational implementation requires scaling to thousands of iterations to meet ART-TREES statistical confidence requirements.</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0.01749026</w:t>
            </w:r>
          </w:p>
        </w:tc>
      </w:tr>
    </w:tbl>
    <w:bookmarkEnd w:id="302"/>
    <w:bookmarkEnd w:id="303"/>
    <w:bookmarkStart w:id="305" w:name="accuracy-assessment"/>
    <w:p>
      <w:pPr>
        <w:pStyle w:val="Heading2"/>
      </w:pPr>
      <w:r>
        <w:t xml:space="preserve">3.9 Accuracy Assessment</w:t>
      </w:r>
    </w:p>
    <w:p>
      <w:pPr>
        <w:pStyle w:val="FirstParagraph"/>
      </w:pPr>
      <w:r>
        <w:t xml:space="preserve">Accuracy assessment quantifies classification performance against independent reference data through stratified train-test partitioning that ensures adequate representation across all nine forest disturbance classes. We partitioned the feature dataset into training (80%, n≈4,806) and testing (20%, n≈1,201) subsets using stratified random sampling that maintains original class proportions in both subsets. This prevents bias from over- or under-representing rare classes during evaluation, which becomes critical given our 11:1 imbalance between majority and minority classes. All class labels were converted to factors with consistent levels across training and testing sets to prevent errors when rare classes appear in only one subset—a common issue with imbalanced datasets that causes prediction failures during validation. The model trained on the 80% calibration set with 120 Random Forest trees was then evaluated on the withheld 20% test set to generate confusion matrix statistics.</w:t>
      </w:r>
    </w:p>
    <w:p>
      <w:pPr>
        <w:pStyle w:val="BodyText"/>
      </w:pPr>
      <w:r>
        <w:t xml:space="preserve">The confusion matrix quantifies classification performance by comparing predicted labels against reference labels for the 1,201 withheld test samples, revealing both overall accuracy and class-specific error patterns critical for REDD+ uncertainty assessment. Overall performance achieved 73.9% accuracy (95% CI: 71.4-76.4%) with Kappa of 0.692, significantly better than random assignment (p &lt; 2.2e-16) and indicating moderate agreement beyond chance. Class-specific performance varied dramatically, with high-performing classes achieving sensitivity above 85%—Water reached 100% sensitivity with 95.5% precision through its distinctive spectral signature, Riparian_Forest achieved 88% sensitivity despite constituting 20.8% of the dataset, and</w:t>
      </w:r>
      <w:r>
        <w:t xml:space="preserve"> </w:t>
      </w:r>
      <w:r>
        <w:rPr>
          <w:rStyle w:val="VerbatimChar"/>
        </w:rPr>
        <w:t xml:space="preserve">Forest</w:t>
      </w:r>
      <w:r>
        <w:t xml:space="preserve"> </w:t>
      </w:r>
      <w:r>
        <w:t xml:space="preserve">showed 86.5% sensitivity representing core forest discrimination. Moderate performers included</w:t>
      </w:r>
      <w:r>
        <w:t xml:space="preserve"> </w:t>
      </w:r>
      <w:r>
        <w:rPr>
          <w:rStyle w:val="VerbatimChar"/>
        </w:rPr>
        <w:t xml:space="preserve">Clear_Cut_Burned_Area</w:t>
      </w:r>
      <w:r>
        <w:t xml:space="preserve"> </w:t>
      </w:r>
      <w:r>
        <w:t xml:space="preserve">at 73.5% sensitivity,</w:t>
      </w:r>
      <w:r>
        <w:t xml:space="preserve"> </w:t>
      </w:r>
      <w:r>
        <w:rPr>
          <w:rStyle w:val="VerbatimChar"/>
        </w:rPr>
        <w:t xml:space="preserve">Seasonally_Flooded</w:t>
      </w:r>
      <w:r>
        <w:t xml:space="preserve"> </w:t>
      </w:r>
      <w:r>
        <w:t xml:space="preserve">at 69.2%, and</w:t>
      </w:r>
      <w:r>
        <w:t xml:space="preserve"> </w:t>
      </w:r>
      <w:r>
        <w:rPr>
          <w:rStyle w:val="VerbatimChar"/>
        </w:rPr>
        <w:t xml:space="preserve">Clear_Cut_Bare_Soil</w:t>
      </w:r>
      <w:r>
        <w:t xml:space="preserve"> </w:t>
      </w:r>
      <w:r>
        <w:t xml:space="preserve">at 69.2%, while</w:t>
      </w:r>
      <w:r>
        <w:t xml:space="preserve"> </w:t>
      </w:r>
      <w:r>
        <w:rPr>
          <w:rStyle w:val="VerbatimChar"/>
        </w:rPr>
        <w:t xml:space="preserve">Mountainside_Forest</w:t>
      </w:r>
      <w:r>
        <w:t xml:space="preserve"> </w:t>
      </w:r>
      <w:r>
        <w:t xml:space="preserve">suffered severe under-</w:t>
      </w:r>
      <w:r>
        <w:rPr>
          <w:rStyle w:val="VerbatimChar"/>
        </w:rPr>
        <w:t xml:space="preserve">prediction</w:t>
      </w:r>
      <w:r>
        <w:t xml:space="preserve"> </w:t>
      </w:r>
      <w:r>
        <w:t xml:space="preserve">at only 7.1% sensitivity.</w:t>
      </w:r>
    </w:p>
    <w:p>
      <w:pPr>
        <w:pStyle w:val="BodyText"/>
      </w:pPr>
      <w:r>
        <w:t xml:space="preserve">The critical failure in</w:t>
      </w:r>
      <w:r>
        <w:t xml:space="preserve"> </w:t>
      </w:r>
      <w:r>
        <w:rPr>
          <w:rStyle w:val="VerbatimChar"/>
        </w:rPr>
        <w:t xml:space="preserve">Mountainside_Forest</w:t>
      </w:r>
      <w:r>
        <w:t xml:space="preserve"> </w:t>
      </w:r>
      <w:r>
        <w:t xml:space="preserve">classification with 7.1% sensitivity stems from its low prevalence in the training set (3.5% of samples), spectral overlap with other forest types, and topographic effects not captured in spectral features alone. Key confusion patterns emerged between</w:t>
      </w:r>
      <w:r>
        <w:t xml:space="preserve"> </w:t>
      </w:r>
      <w:r>
        <w:rPr>
          <w:rStyle w:val="VerbatimChar"/>
        </w:rPr>
        <w:t xml:space="preserve">Clear_Cut_Bare_Soil</w:t>
      </w:r>
      <w:r>
        <w:t xml:space="preserve"> </w:t>
      </w:r>
      <w:r>
        <w:t xml:space="preserve">and</w:t>
      </w:r>
      <w:r>
        <w:t xml:space="preserve"> </w:t>
      </w:r>
      <w:r>
        <w:rPr>
          <w:rStyle w:val="VerbatimChar"/>
        </w:rPr>
        <w:t xml:space="preserve">Clear_Cut_Burned_Area</w:t>
      </w:r>
      <w:r>
        <w:t xml:space="preserve"> </w:t>
      </w:r>
      <w:r>
        <w:t xml:space="preserve">(72 total misclassifications) due to similar bare soil signatures, among forest types (</w:t>
      </w:r>
      <w:r>
        <w:rPr>
          <w:rStyle w:val="VerbatimChar"/>
        </w:rPr>
        <w:t xml:space="preserve">Forest</w:t>
      </w:r>
      <w:r>
        <w:t xml:space="preserve">,</w:t>
      </w:r>
      <w:r>
        <w:t xml:space="preserve"> </w:t>
      </w:r>
      <w:r>
        <w:rPr>
          <w:rStyle w:val="VerbatimChar"/>
        </w:rPr>
        <w:t xml:space="preserve">Mountainside_Forest</w:t>
      </w:r>
      <w:r>
        <w:t xml:space="preserve">,</w:t>
      </w:r>
      <w:r>
        <w:t xml:space="preserve"> </w:t>
      </w:r>
      <w:r>
        <w:rPr>
          <w:rStyle w:val="VerbatimChar"/>
        </w:rPr>
        <w:t xml:space="preserve">Riparian_Forest</w:t>
      </w:r>
      <w:r>
        <w:t xml:space="preserve">) sharing vegetation characteristics, and between hydrological classes (</w:t>
      </w:r>
      <w:r>
        <w:rPr>
          <w:rStyle w:val="VerbatimChar"/>
        </w:rPr>
        <w:t xml:space="preserve">Seasonally_Flooded</w:t>
      </w:r>
      <w:r>
        <w:t xml:space="preserve"> </w:t>
      </w:r>
      <w:r>
        <w:t xml:space="preserve">and Wetland</w:t>
      </w:r>
      <w:r>
        <w:rPr>
          <w:rStyle w:val="VerbatimChar"/>
        </w:rPr>
        <w:t xml:space="preserve">)</w:t>
      </w:r>
      <w:r>
        <w:t xml:space="preserve"> </w:t>
      </w:r>
      <w:r>
        <w:t xml:space="preserve">with overlapping seasonal inundation dynamics. For REDD+ implications, the 73.9% accuracy translates to approximately 26% activity data uncertainty before applying ART-TREES area adjustment corrections. Class-specific errors, particularly the Mountainside_Forest omissions, would inflate uncertainty in jurisdictions with significant topographic variability, requiring either targeted training sample augmentation for rare classes, stratified validation with higher sampling density in confused regions, or integration of DEM-derived topographic variables as additional features. Implementation details for accuracy assessment procedures are provided in Section 3.10.</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304"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84"/>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0.7393</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0.6916</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0.7135</w:t>
            </w:r>
          </w:p>
        </w:tc>
      </w:tr>
      <w:tr>
        <w:trPr>
          <w:trHeight w:val="61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304"/>
    <w:bookmarkEnd w:id="305"/>
    <w:bookmarkStart w:id="306" w:name="reproducible-workflow"/>
    <w:p>
      <w:pPr>
        <w:pStyle w:val="Heading2"/>
      </w:pPr>
      <w:r>
        <w:t xml:space="preserve">3.10 Reproducible Workflow</w:t>
      </w:r>
    </w:p>
    <w:bookmarkEnd w:id="306"/>
    <w:bookmarkStart w:id="307" w:name="sec-summary"/>
    <w:p>
      <w:pPr>
        <w:pStyle w:val="Heading2"/>
      </w:pPr>
      <w:r>
        <w:t xml:space="preserve">3.11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90"/>
        </w:numPr>
      </w:pPr>
      <w:r>
        <w:t xml:space="preserve">Data cube architecture: Structured approach to spatiotemporal land cover analysis</w:t>
      </w:r>
    </w:p>
    <w:p>
      <w:pPr>
        <w:pStyle w:val="Compact"/>
        <w:numPr>
          <w:ilvl w:val="0"/>
          <w:numId w:val="1090"/>
        </w:numPr>
      </w:pPr>
      <w:r>
        <w:t xml:space="preserve">IPCC methodology alignment: Clear guidance on Approach 3 requirements</w:t>
      </w:r>
    </w:p>
    <w:p>
      <w:pPr>
        <w:pStyle w:val="Compact"/>
        <w:numPr>
          <w:ilvl w:val="0"/>
          <w:numId w:val="1090"/>
        </w:numPr>
      </w:pPr>
      <w:r>
        <w:t xml:space="preserve">Pixel-level uncertainty tracking: Model residuals for adaptive sampling</w:t>
      </w:r>
    </w:p>
    <w:p>
      <w:pPr>
        <w:pStyle w:val="Compact"/>
        <w:numPr>
          <w:ilvl w:val="0"/>
          <w:numId w:val="1090"/>
        </w:numPr>
      </w:pPr>
      <w:r>
        <w:t xml:space="preserve">Random Forest optimization: Monte Carlo calibration workflows</w:t>
      </w:r>
    </w:p>
    <w:p>
      <w:pPr>
        <w:pStyle w:val="Compact"/>
        <w:numPr>
          <w:ilvl w:val="0"/>
          <w:numId w:val="1090"/>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307"/>
    <w:bookmarkEnd w:id="308"/>
    <w:bookmarkStart w:id="327" w:name="monte-carlo"/>
    <w:p>
      <w:pPr>
        <w:pStyle w:val="Heading1"/>
      </w:pPr>
      <w:r>
        <w:t xml:space="preserve">4. Monte Carlo</w:t>
      </w:r>
    </w:p>
    <w:bookmarkStart w:id="310"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9"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9"/>
    <w:bookmarkEnd w:id="310"/>
    <w:bookmarkStart w:id="312" w:name="simulation-design"/>
    <w:p>
      <w:pPr>
        <w:pStyle w:val="Heading2"/>
      </w:pPr>
      <w:r>
        <w:t xml:space="preserve">4.1 Simulation Design</w:t>
      </w:r>
    </w:p>
    <w:p>
      <w:pPr>
        <w:pStyle w:val="FirstParagraph"/>
      </w:pPr>
      <w:r>
        <w:t xml:space="preserve">Temporal Dimensions</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11"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11"/>
    <w:bookmarkEnd w:id="312"/>
    <w:bookmarkStart w:id="314" w:name="uncertainty-source-prioritization"/>
    <w:p>
      <w:pPr>
        <w:pStyle w:val="Heading2"/>
      </w:pPr>
      <w:r>
        <w:t xml:space="preserve">4.2 Uncertainty Source Prioritization</w:t>
      </w:r>
    </w:p>
    <w:bookmarkStart w:id="313" w:name="sensitivity-analysis"/>
    <w:p>
      <w:pPr>
        <w:pStyle w:val="Heading3"/>
      </w:pPr>
      <w:r>
        <w:t xml:space="preserve">Sensitivity Analysis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13"/>
    <w:bookmarkEnd w:id="314"/>
    <w:bookmarkStart w:id="322" w:name="optimization-strategies"/>
    <w:p>
      <w:pPr>
        <w:pStyle w:val="Heading2"/>
      </w:pPr>
      <w:r>
        <w:t xml:space="preserve">4.3 Optimization Strategies</w:t>
      </w:r>
    </w:p>
    <w:bookmarkStart w:id="315"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15"/>
    <w:bookmarkStart w:id="321" w:name="temporal-aggregation"/>
    <w:p>
      <w:pPr>
        <w:pStyle w:val="Heading3"/>
      </w:pPr>
      <w:r>
        <w:t xml:space="preserve">Temporal Aggregation</w:t>
      </w:r>
    </w:p>
    <w:bookmarkStart w:id="316" w:name="X805ddb0c92caa967f2a5023a60d597c7f8604d4"/>
    <w:p>
      <w:pPr>
        <w:pStyle w:val="Heading4"/>
      </w:pPr>
      <w:r>
        <w:t xml:space="preserve">Single-Year vs. Multi-Year Simulation Design</w:t>
      </w:r>
    </w:p>
    <w:p>
      <w:pPr>
        <w:pStyle w:val="FirstParagraph"/>
      </w:pPr>
      <w:r>
        <w:t xml:space="preserve">ART-TREES permits two approaches to temporal scope in Monte Carlo simulations. Recent validation work demonstrates that single-year simulation design substantially reduces uncertainty compared to multi-year aggregation approaches.</w:t>
      </w:r>
    </w:p>
    <w:bookmarkEnd w:id="316"/>
    <w:bookmarkStart w:id="317" w:name="multi-year-aggregation"/>
    <w:p>
      <w:pPr>
        <w:pStyle w:val="Heading4"/>
      </w:pPr>
      <w:r>
        <w:t xml:space="preserve">Multi-Year Aggregation:</w:t>
      </w:r>
    </w:p>
    <w:p>
      <w:pPr>
        <w:pStyle w:val="SourceCode"/>
      </w:pPr>
      <w:r>
        <w:rPr>
          <w:rStyle w:val="CommentTok"/>
        </w:rPr>
        <w:t xml:space="preserve"># Multi-year approach: Propagates uncertainty forward through years</w:t>
      </w:r>
      <w:r>
        <w:br/>
      </w:r>
      <w:r>
        <w:rPr>
          <w:rStyle w:val="NormalTok"/>
        </w:rPr>
        <w:t xml:space="preserve">multi_year_simulation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years_data) {</w:t>
      </w:r>
      <w:r>
        <w:br/>
      </w:r>
      <w:r>
        <w:rPr>
          <w:rStyle w:val="NormalTok"/>
        </w:rPr>
        <w:t xml:space="preserve">  cumulative_emissions </w:t>
      </w:r>
      <w:r>
        <w:rPr>
          <w:rStyle w:val="OtherTok"/>
        </w:rPr>
        <w:t xml:space="preserve">&lt;-</w:t>
      </w:r>
      <w:r>
        <w:rPr>
          <w:rStyle w:val="NormalTok"/>
        </w:rPr>
        <w:t xml:space="preserve"> </w:t>
      </w:r>
      <w:r>
        <w:rPr>
          <w:rStyle w:val="FunctionTok"/>
        </w:rPr>
        <w:t xml:space="preserve">numeric</w:t>
      </w:r>
      <w:r>
        <w:rPr>
          <w:rStyle w:val="NormalTok"/>
        </w:rPr>
        <w:t xml:space="preserve">(n_sim)</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n_sim) {</w:t>
      </w:r>
      <w:r>
        <w:br/>
      </w:r>
      <w:r>
        <w:rPr>
          <w:rStyle w:val="NormalTok"/>
        </w:rPr>
        <w:t xml:space="preserve">    </w:t>
      </w:r>
      <w:r>
        <w:rPr>
          <w:rStyle w:val="CommentTok"/>
        </w:rPr>
        <w:t xml:space="preserve"># Sample each year, accumulating uncertainties</w:t>
      </w:r>
      <w:r>
        <w:br/>
      </w:r>
      <w:r>
        <w:rPr>
          <w:rStyle w:val="NormalTok"/>
        </w:rPr>
        <w:t xml:space="preserve">    year_emissions </w:t>
      </w:r>
      <w:r>
        <w:rPr>
          <w:rStyle w:val="OtherTok"/>
        </w:rPr>
        <w:t xml:space="preserve">&lt;-</w:t>
      </w:r>
      <w:r>
        <w:rPr>
          <w:rStyle w:val="NormalTok"/>
        </w:rPr>
        <w:t xml:space="preserve"> </w:t>
      </w:r>
      <w:r>
        <w:rPr>
          <w:rStyle w:val="FunctionTok"/>
        </w:rPr>
        <w:t xml:space="preserve">sapply</w:t>
      </w:r>
      <w:r>
        <w:rPr>
          <w:rStyle w:val="NormalTok"/>
        </w:rPr>
        <w:t xml:space="preserve">(years_data, </w:t>
      </w:r>
      <w:r>
        <w:rPr>
          <w:rStyle w:val="ControlFlowTok"/>
        </w:rPr>
        <w:t xml:space="preserve">function</w:t>
      </w:r>
      <w:r>
        <w:rPr>
          <w:rStyle w:val="NormalTok"/>
        </w:rPr>
        <w:t xml:space="preserve">(year) {</w:t>
      </w:r>
      <w:r>
        <w:br/>
      </w:r>
      <w:r>
        <w:rPr>
          <w:rStyle w:val="NormalTok"/>
        </w:rPr>
        <w:t xml:space="preserve">      defor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deforestation_ha, year</w:t>
      </w:r>
      <w:r>
        <w:rPr>
          <w:rStyle w:val="SpecialCharTok"/>
        </w:rPr>
        <w:t xml:space="preserve">$</w:t>
      </w:r>
      <w:r>
        <w:rPr>
          <w:rStyle w:val="NormalTok"/>
        </w:rPr>
        <w:t xml:space="preserve">deforestation_ha </w:t>
      </w:r>
      <w:r>
        <w:rPr>
          <w:rStyle w:val="SpecialCharTok"/>
        </w:rPr>
        <w:t xml:space="preserve">*</w:t>
      </w:r>
      <w:r>
        <w:rPr>
          <w:rStyle w:val="NormalTok"/>
        </w:rPr>
        <w:t xml:space="preserve"> year</w:t>
      </w:r>
      <w:r>
        <w:rPr>
          <w:rStyle w:val="SpecialCharTok"/>
        </w:rPr>
        <w:t xml:space="preserve">$</w:t>
      </w:r>
      <w:r>
        <w:rPr>
          <w:rStyle w:val="NormalTok"/>
        </w:rPr>
        <w:t xml:space="preserve">ad_unc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ef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ef_tco2_ha, year</w:t>
      </w:r>
      <w:r>
        <w:rPr>
          <w:rStyle w:val="SpecialCharTok"/>
        </w:rPr>
        <w:t xml:space="preserve">$</w:t>
      </w:r>
      <w:r>
        <w:rPr>
          <w:rStyle w:val="NormalTok"/>
        </w:rPr>
        <w:t xml:space="preserve">ef_tco2_ha </w:t>
      </w:r>
      <w:r>
        <w:rPr>
          <w:rStyle w:val="SpecialCharTok"/>
        </w:rPr>
        <w:t xml:space="preserve">*</w:t>
      </w:r>
      <w:r>
        <w:rPr>
          <w:rStyle w:val="NormalTok"/>
        </w:rPr>
        <w:t xml:space="preserve"> year</w:t>
      </w:r>
      <w:r>
        <w:rPr>
          <w:rStyle w:val="SpecialCharTok"/>
        </w:rPr>
        <w:t xml:space="preserve">$</w:t>
      </w:r>
      <w:r>
        <w:rPr>
          <w:rStyle w:val="NormalTok"/>
        </w:rPr>
        <w:t xml:space="preserve">ef_unc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defor </w:t>
      </w:r>
      <w:r>
        <w:rPr>
          <w:rStyle w:val="SpecialCharTok"/>
        </w:rPr>
        <w:t xml:space="preserve">*</w:t>
      </w:r>
      <w:r>
        <w:rPr>
          <w:rStyle w:val="NormalTok"/>
        </w:rPr>
        <w:t xml:space="preserve"> ef</w:t>
      </w:r>
      <w:r>
        <w:br/>
      </w:r>
      <w:r>
        <w:rPr>
          <w:rStyle w:val="NormalTok"/>
        </w:rPr>
        <w:t xml:space="preserve">    })</w:t>
      </w:r>
      <w:r>
        <w:br/>
      </w:r>
      <w:r>
        <w:rPr>
          <w:rStyle w:val="NormalTok"/>
        </w:rPr>
        <w:t xml:space="preserve">    cumulative_emissions[i] </w:t>
      </w:r>
      <w:r>
        <w:rPr>
          <w:rStyle w:val="OtherTok"/>
        </w:rPr>
        <w:t xml:space="preserve">&lt;-</w:t>
      </w:r>
      <w:r>
        <w:rPr>
          <w:rStyle w:val="NormalTok"/>
        </w:rPr>
        <w:t xml:space="preserve"> </w:t>
      </w:r>
      <w:r>
        <w:rPr>
          <w:rStyle w:val="FunctionTok"/>
        </w:rPr>
        <w:t xml:space="preserve">sum</w:t>
      </w:r>
      <w:r>
        <w:rPr>
          <w:rStyle w:val="NormalTok"/>
        </w:rPr>
        <w:t xml:space="preserve">(year_emissions)</w:t>
      </w:r>
      <w:r>
        <w:br/>
      </w:r>
      <w:r>
        <w:rPr>
          <w:rStyle w:val="NormalTok"/>
        </w:rPr>
        <w:t xml:space="preserve">  }</w:t>
      </w:r>
      <w:r>
        <w:br/>
      </w:r>
      <w:r>
        <w:rPr>
          <w:rStyle w:val="NormalTok"/>
        </w:rPr>
        <w:t xml:space="preserve">  </w:t>
      </w:r>
      <w:r>
        <w:br/>
      </w:r>
      <w:r>
        <w:rPr>
          <w:rStyle w:val="NormalTok"/>
        </w:rPr>
        <w:t xml:space="preserve">  </w:t>
      </w:r>
      <w:r>
        <w:rPr>
          <w:rStyle w:val="CommentTok"/>
        </w:rPr>
        <w:t xml:space="preserve"># UAF from cumulative distribution</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(cumulative_emissions,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(cumulative_emissions))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uaf =</w:t>
      </w:r>
      <w:r>
        <w:rPr>
          <w:rStyle w:val="NormalTok"/>
        </w:rPr>
        <w:t xml:space="preserve"> uaf, </w:t>
      </w:r>
      <w:r>
        <w:rPr>
          <w:rStyle w:val="AttributeTok"/>
        </w:rPr>
        <w:t xml:space="preserve">mean_emissions =</w:t>
      </w:r>
      <w:r>
        <w:rPr>
          <w:rStyle w:val="NormalTok"/>
        </w:rPr>
        <w:t xml:space="preserve"> </w:t>
      </w:r>
      <w:r>
        <w:rPr>
          <w:rStyle w:val="FunctionTok"/>
        </w:rPr>
        <w:t xml:space="preserve">mean</w:t>
      </w:r>
      <w:r>
        <w:rPr>
          <w:rStyle w:val="NormalTok"/>
        </w:rPr>
        <w:t xml:space="preserve">(cumulative_emissions)))</w:t>
      </w:r>
      <w:r>
        <w:br/>
      </w:r>
      <w:r>
        <w:rPr>
          <w:rStyle w:val="NormalTok"/>
        </w:rPr>
        <w:t xml:space="preserve">}</w:t>
      </w:r>
    </w:p>
    <w:p>
      <w:pPr>
        <w:pStyle w:val="FirstParagraph"/>
      </w:pPr>
      <w:r>
        <w:t xml:space="preserve">Note some important limitations to this. Error propagation across years inflates confidence interval width, which depending data dimensions, can produce UA &gt; 100% uncertainty as it exceeds mean emissions earlier in the trend.</w:t>
      </w:r>
    </w:p>
    <w:bookmarkEnd w:id="317"/>
    <w:bookmarkStart w:id="318" w:name="single-year-design"/>
    <w:p>
      <w:pPr>
        <w:pStyle w:val="Heading4"/>
      </w:pPr>
      <w:r>
        <w:t xml:space="preserve">Single-Year Design:</w:t>
      </w:r>
    </w:p>
    <w:p>
      <w:pPr>
        <w:pStyle w:val="FirstParagraph"/>
      </w:pPr>
      <w:r>
        <w:t xml:space="preserve">On the other hand, the single-year approach constrains simulation to single monitoring period:</w:t>
      </w:r>
    </w:p>
    <w:p>
      <w:pPr>
        <w:pStyle w:val="SourceCode"/>
      </w:pPr>
      <w:r>
        <w:rPr>
          <w:rStyle w:val="CommentTok"/>
        </w:rPr>
        <w:t xml:space="preserve"># Single-year approach: Isolates uncertainty to reporting period  </w:t>
      </w:r>
      <w:r>
        <w:br/>
      </w:r>
      <w:r>
        <w:rPr>
          <w:rStyle w:val="NormalTok"/>
        </w:rPr>
        <w:t xml:space="preserve">single_year_simulation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br/>
      </w:r>
      <w:r>
        <w:rPr>
          <w:rStyle w:val="NormalTok"/>
        </w:rPr>
        <w:t xml:space="preserve">}</w:t>
      </w:r>
      <w:r>
        <w:br/>
      </w:r>
      <w:r>
        <w:br/>
      </w:r>
      <w:r>
        <w:rPr>
          <w:rStyle w:val="CommentTok"/>
        </w:rPr>
        <w:t xml:space="preserve"># Example: 2024 monitoring period</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Chapter 2 IPCC defaults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single_year_simulation</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1002646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Uncertainty Adjustment Factor: 11.2%</w:t>
      </w:r>
    </w:p>
    <w:p>
      <w:pPr>
        <w:pStyle w:val="FirstParagraph"/>
      </w:pPr>
      <w:r>
        <w:t xml:space="preserve">Validated performance: Jurisdictional program testing achieved 21-percentage-point reduction (from 104% to 83% UAF) by switching from multi-year to single-year design.</w:t>
      </w:r>
    </w:p>
    <w:bookmarkEnd w:id="318"/>
    <w:bookmarkStart w:id="319" w:name="reference-level-treatment"/>
    <w:p>
      <w:pPr>
        <w:pStyle w:val="Heading4"/>
      </w:pPr>
      <w:r>
        <w:t xml:space="preserve">Reference Level Treatment</w:t>
      </w:r>
    </w:p>
    <w:p>
      <w:pPr>
        <w:pStyle w:val="FirstParagraph"/>
      </w:pPr>
      <w:r>
        <w:t xml:space="preserve">Treat the HFLDCL baseline as deterministic or fixed verified value rather than stochastic and persistently in effect:</w:t>
      </w:r>
    </w:p>
    <w:p>
      <w:pPr>
        <w:pStyle w:val="SourceCode"/>
      </w:pPr>
      <w:r>
        <w:rPr>
          <w:rStyle w:val="CommentTok"/>
        </w:rPr>
        <w:t xml:space="preserve"># CORRECT: Deterministic baseline (Guyana-validated approach)</w:t>
      </w:r>
      <w:r>
        <w:br/>
      </w:r>
      <w:r>
        <w:rPr>
          <w:rStyle w:val="NormalTok"/>
        </w:rPr>
        <w:t xml:space="preserve">hfldcl_fixed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Arithmetic mean of verified 2016-2020 period (tCO2)</w:t>
      </w:r>
      <w:r>
        <w:br/>
      </w:r>
      <w:r>
        <w:br/>
      </w:r>
      <w:r>
        <w:rPr>
          <w:rStyle w:val="CommentTok"/>
        </w:rPr>
        <w:t xml:space="preserve"># Simulate only crediting period emissions</w:t>
      </w:r>
      <w:r>
        <w:br/>
      </w:r>
      <w:r>
        <w:rPr>
          <w:rStyle w:val="NormalTok"/>
        </w:rPr>
        <w:t xml:space="preserve">n_sim </w:t>
      </w:r>
      <w:r>
        <w:rPr>
          <w:rStyle w:val="OtherTok"/>
        </w:rPr>
        <w:t xml:space="preserve">&lt;-</w:t>
      </w:r>
      <w:r>
        <w:rPr>
          <w:rStyle w:val="NormalTok"/>
        </w:rPr>
        <w:t xml:space="preserve"> </w:t>
      </w:r>
      <w:r>
        <w:rPr>
          <w:rStyle w:val="DecValTok"/>
        </w:rPr>
        <w:t xml:space="preserve">10000</w:t>
      </w:r>
      <w:r>
        <w:br/>
      </w:r>
      <w:r>
        <w:rPr>
          <w:rStyle w:val="NormalTok"/>
        </w:rPr>
        <w:t xml:space="preserve">emissions_2024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1000000</w:t>
      </w:r>
      <w:r>
        <w:rPr>
          <w:rStyle w:val="NormalTok"/>
        </w:rPr>
        <w:t xml:space="preserve">, </w:t>
      </w:r>
      <w:r>
        <w:rPr>
          <w:rStyle w:val="AttributeTok"/>
        </w:rPr>
        <w:t xml:space="preserve">sd =</w:t>
      </w:r>
      <w:r>
        <w:rPr>
          <w:rStyle w:val="NormalTok"/>
        </w:rPr>
        <w:t xml:space="preserve"> </w:t>
      </w:r>
      <w:r>
        <w:rPr>
          <w:rStyle w:val="DecValTok"/>
        </w:rPr>
        <w:t xml:space="preserve">1000000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br/>
      </w:r>
      <w:r>
        <w:rPr>
          <w:rStyle w:val="CommentTok"/>
        </w:rPr>
        <w:t xml:space="preserve"># Reductions with fixed baseline</w:t>
      </w:r>
      <w:r>
        <w:br/>
      </w:r>
      <w:r>
        <w:rPr>
          <w:rStyle w:val="NormalTok"/>
        </w:rPr>
        <w:t xml:space="preserve">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hfldcl_fixed </w:t>
      </w:r>
      <w:r>
        <w:rPr>
          <w:rStyle w:val="SpecialCharTok"/>
        </w:rPr>
        <w:t xml:space="preserve">-</w:t>
      </w:r>
      <w:r>
        <w:rPr>
          <w:rStyle w:val="NormalTok"/>
        </w:rPr>
        <w:t xml:space="preserve"> emissions_2024)</w:t>
      </w:r>
      <w:r>
        <w:br/>
      </w:r>
      <w:r>
        <w:br/>
      </w:r>
      <w:r>
        <w:rPr>
          <w:rStyle w:val="CommentTok"/>
        </w:rPr>
        <w:t xml:space="preserve"># UAF calculation</w:t>
      </w:r>
      <w:r>
        <w:br/>
      </w:r>
      <w:r>
        <w:rPr>
          <w:rStyle w:val="NormalTok"/>
        </w:rPr>
        <w:t xml:space="preserve">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w:t>
      </w:r>
      <w:r>
        <w:rPr>
          <w:rStyle w:val="SpecialCharTok"/>
        </w:rPr>
        <w:t xml:space="preserve">\n</w:t>
      </w:r>
      <w:r>
        <w:rPr>
          <w:rStyle w:val="StringTok"/>
        </w:rPr>
        <w:t xml:space="preserve">Deterministic Baseline UAF: %.1f%%</w:t>
      </w:r>
      <w:r>
        <w:rPr>
          <w:rStyle w:val="SpecialCharTok"/>
        </w:rPr>
        <w:t xml:space="preserve">\n</w:t>
      </w:r>
      <w:r>
        <w:rPr>
          <w:rStyle w:val="StringTok"/>
        </w:rPr>
        <w:t xml:space="preserve">"</w:t>
      </w:r>
      <w:r>
        <w:rPr>
          <w:rStyle w:val="NormalTok"/>
        </w:rPr>
        <w:t xml:space="preserve">, 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w:t>
      </w:r>
      <w:r>
        <w:br/>
      </w:r>
      <w:r>
        <w:rPr>
          <w:rStyle w:val="DocumentationTok"/>
        </w:rPr>
        <w:t xml:space="preserve">## Deterministic Baseline UAF: 0.4%</w:t>
      </w:r>
    </w:p>
    <w:p>
      <w:pPr>
        <w:pStyle w:val="FirstParagraph"/>
      </w:pPr>
      <w:r>
        <w:t xml:space="preserve">One can assume the historical mean or a reference level that has been VVB-verified. By ART’s definition, audit statements are irreversible and issues are non-fungible, which therefore adds removes compliance concerns value and helps avoid artificially inflating UAF with repeat revisions.</w:t>
      </w:r>
    </w:p>
    <w:bookmarkEnd w:id="319"/>
    <w:bookmarkStart w:id="320" w:name="credit-recovery-provision"/>
    <w:p>
      <w:pPr>
        <w:pStyle w:val="Heading4"/>
      </w:pPr>
      <w:r>
        <w:t xml:space="preserve">Credit Recovery Provision</w:t>
      </w:r>
    </w:p>
    <w:p>
      <w:pPr>
        <w:pStyle w:val="FirstParagraph"/>
      </w:pPr>
      <w:r>
        <w:t xml:space="preserve">Recalculate every 5 years to recover over-deducted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a</m:t>
                      </m:r>
                      <m:r>
                        <m:t>n</m:t>
                      </m:r>
                      <m:r>
                        <m:t>n</m:t>
                      </m:r>
                      <m:r>
                        <m:t>u</m:t>
                      </m:r>
                      <m:r>
                        <m:t>a</m:t>
                      </m:r>
                      <m:r>
                        <m:t>l</m:t>
                      </m:r>
                    </m:sub>
                  </m:sSub>
                  <m:r>
                    <m:rPr>
                      <m:sty m:val="p"/>
                    </m:rPr>
                    <m:t>−</m:t>
                  </m:r>
                  <m:r>
                    <m:t>U</m:t>
                  </m:r>
                  <m:sSub>
                    <m:e>
                      <m:r>
                        <m:t>A</m:t>
                      </m:r>
                    </m:e>
                    <m:sub>
                      <m:r>
                        <m:t>c</m:t>
                      </m:r>
                      <m:r>
                        <m:t>u</m:t>
                      </m:r>
                      <m:r>
                        <m:t>m</m:t>
                      </m:r>
                      <m:r>
                        <m:t>u</m:t>
                      </m:r>
                      <m:r>
                        <m:t>l</m:t>
                      </m:r>
                      <m:r>
                        <m:t>a</m:t>
                      </m:r>
                      <m:r>
                        <m:t>t</m:t>
                      </m:r>
                      <m:r>
                        <m:t>i</m:t>
                      </m:r>
                      <m:r>
                        <m:t>v</m:t>
                      </m:r>
                      <m:r>
                        <m:t>e</m:t>
                      </m:r>
                    </m:sub>
                  </m:sSub>
                </m:e>
              </m:d>
            </m:e>
          </m:nary>
          <m:r>
            <m:rPr>
              <m:sty m:val="p"/>
            </m:rPr>
            <m:t>×</m:t>
          </m:r>
          <m:sSub>
            <m:e>
              <m:r>
                <m:rPr>
                  <m:nor/>
                  <m:sty m:val="p"/>
                </m:rPr>
                <m:t>Emissions</m:t>
              </m:r>
            </m:e>
            <m:sub>
              <m:r>
                <m:t>i</m:t>
              </m:r>
            </m:sub>
          </m:sSub>
        </m:oMath>
      </m:oMathPara>
    </w:p>
    <w:p>
      <w:pPr>
        <w:pStyle w:val="FirstParagraph"/>
      </w:pPr>
      <w:r>
        <w:t xml:space="preserve">This incentivizes continuous methodological improvement.</w:t>
      </w:r>
    </w:p>
    <w:bookmarkEnd w:id="320"/>
    <w:bookmarkEnd w:id="321"/>
    <w:bookmarkEnd w:id="322"/>
    <w:bookmarkStart w:id="324" w:name="worked-example-jurisdictional-program"/>
    <w:p>
      <w:pPr>
        <w:pStyle w:val="Heading2"/>
      </w:pPr>
      <w:r>
        <w:t xml:space="preserve">4.4 Worked Example: Jurisdictional Program</w:t>
      </w:r>
    </w:p>
    <w:bookmarkStart w:id="323"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19937713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19827599 tCO2</w:t>
      </w:r>
    </w:p>
    <w:bookmarkEnd w:id="323"/>
    <w:bookmarkEnd w:id="324"/>
    <w:bookmarkStart w:id="325" w:name="compliance-checklist"/>
    <w:p>
      <w:pPr>
        <w:pStyle w:val="Heading2"/>
      </w:pPr>
      <w:r>
        <w:t xml:space="preserve">4.5 Compliance Checklist</w:t>
      </w:r>
    </w:p>
    <w:p>
      <w:pPr>
        <w:pStyle w:val="Compact"/>
        <w:numPr>
          <w:ilvl w:val="0"/>
          <w:numId w:val="1091"/>
        </w:numPr>
      </w:pPr>
      <w:r>
        <w:t xml:space="preserve">Minimum 10,000 iterations per crediting year</w:t>
      </w:r>
    </w:p>
    <w:p>
      <w:pPr>
        <w:pStyle w:val="Compact"/>
        <w:numPr>
          <w:ilvl w:val="0"/>
          <w:numId w:val="1091"/>
        </w:numPr>
      </w:pPr>
      <w:r>
        <w:t xml:space="preserve">90% confidence intervals (5th and 95th percentiles)</w:t>
      </w:r>
    </w:p>
    <w:p>
      <w:pPr>
        <w:pStyle w:val="Compact"/>
        <w:numPr>
          <w:ilvl w:val="0"/>
          <w:numId w:val="1091"/>
        </w:numPr>
      </w:pPr>
      <w:r>
        <w:t xml:space="preserve">Bootstrap sampling for unknown distributions</w:t>
      </w:r>
    </w:p>
    <w:p>
      <w:pPr>
        <w:pStyle w:val="Compact"/>
        <w:numPr>
          <w:ilvl w:val="0"/>
          <w:numId w:val="1091"/>
        </w:numPr>
      </w:pPr>
      <w:r>
        <w:t xml:space="preserve">Conservative bias (systematic underestimation permitted)</w:t>
      </w:r>
    </w:p>
    <w:p>
      <w:pPr>
        <w:pStyle w:val="Compact"/>
        <w:numPr>
          <w:ilvl w:val="0"/>
          <w:numId w:val="1091"/>
        </w:numPr>
      </w:pPr>
      <w:r>
        <w:t xml:space="preserve">Whole-chain integration (activity data + emission factors)</w:t>
      </w:r>
    </w:p>
    <w:p>
      <w:pPr>
        <w:pStyle w:val="Compact"/>
        <w:numPr>
          <w:ilvl w:val="0"/>
          <w:numId w:val="1091"/>
        </w:numPr>
      </w:pPr>
      <w:r>
        <w:t xml:space="preserve">Documentation of simulation code and random seed</w:t>
      </w:r>
    </w:p>
    <w:bookmarkEnd w:id="325"/>
    <w:bookmarkStart w:id="326" w:name="chapter-summary-1"/>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26"/>
    <w:bookmarkEnd w:id="327"/>
    <w:bookmarkStart w:id="408" w:name="references"/>
    <w:p>
      <w:pPr>
        <w:pStyle w:val="Heading1"/>
      </w:pPr>
      <w:r>
        <w:t xml:space="preserve">References</w:t>
      </w:r>
    </w:p>
    <w:bookmarkStart w:id="407" w:name="refs"/>
    <w:bookmarkStart w:id="329"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328">
        <w:r>
          <w:rPr>
            <w:rStyle w:val="Hyperlink"/>
          </w:rPr>
          <w:t xml:space="preserve">https://doi.org/10.3390/data4030092</w:t>
        </w:r>
      </w:hyperlink>
    </w:p>
    <w:bookmarkEnd w:id="329"/>
    <w:bookmarkStart w:id="330"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330"/>
    <w:bookmarkStart w:id="332"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31">
        <w:r>
          <w:rPr>
            <w:rStyle w:val="Hyperlink"/>
          </w:rPr>
          <w:t xml:space="preserve">https://doi.org/10.1034/j.1600-0706.2003.12181.x</w:t>
        </w:r>
      </w:hyperlink>
    </w:p>
    <w:bookmarkEnd w:id="332"/>
    <w:bookmarkStart w:id="333"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33"/>
    <w:bookmarkStart w:id="335"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34">
        <w:r>
          <w:rPr>
            <w:rStyle w:val="Hyperlink"/>
          </w:rPr>
          <w:t xml:space="preserve">https://www.artredd.org/wp-content/uploads/2021/12/TREES-2.0-August-2021-Clean.pdf</w:t>
        </w:r>
      </w:hyperlink>
    </w:p>
    <w:bookmarkEnd w:id="335"/>
    <w:bookmarkStart w:id="336"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36"/>
    <w:bookmarkStart w:id="337"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37"/>
    <w:bookmarkStart w:id="338"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38"/>
    <w:bookmarkStart w:id="339"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39"/>
    <w:bookmarkStart w:id="340"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40"/>
    <w:bookmarkStart w:id="342"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41">
        <w:r>
          <w:rPr>
            <w:rStyle w:val="Hyperlink"/>
          </w:rPr>
          <w:t xml:space="preserve">https://e-sensing.github.io/sitsbook/uncertainty-and-active-learning.html#uncertainty-and-active-learning</w:t>
        </w:r>
      </w:hyperlink>
    </w:p>
    <w:bookmarkEnd w:id="342"/>
    <w:bookmarkStart w:id="343"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43"/>
    <w:bookmarkStart w:id="344"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44"/>
    <w:bookmarkStart w:id="345"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45"/>
    <w:bookmarkStart w:id="346"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46"/>
    <w:bookmarkStart w:id="347"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47"/>
    <w:bookmarkStart w:id="349"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48">
        <w:r>
          <w:rPr>
            <w:rStyle w:val="Hyperlink"/>
          </w:rPr>
          <w:t xml:space="preserve">https://doi.org/10.5067/DOC/CEOSWGCV/LPV/AGB.001</w:t>
        </w:r>
      </w:hyperlink>
    </w:p>
    <w:bookmarkEnd w:id="349"/>
    <w:bookmarkStart w:id="350"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50"/>
    <w:bookmarkStart w:id="351"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51"/>
    <w:bookmarkStart w:id="352"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52"/>
    <w:bookmarkStart w:id="353"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53"/>
    <w:bookmarkStart w:id="354"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54"/>
    <w:bookmarkStart w:id="355"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55"/>
    <w:bookmarkStart w:id="356"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56"/>
    <w:bookmarkStart w:id="358" w:name="ref-terra-2"/>
    <w:p>
      <w:pPr>
        <w:pStyle w:val="Bibliography"/>
      </w:pPr>
      <w:r>
        <w:t xml:space="preserve">Hijmans, R. J. (2025).</w:t>
      </w:r>
      <w:r>
        <w:t xml:space="preserve"> </w:t>
      </w:r>
      <w:r>
        <w:rPr>
          <w:i/>
          <w:iCs/>
        </w:rPr>
        <w:t xml:space="preserve">Terra: Spatial data analysis</w:t>
      </w:r>
      <w:r>
        <w:t xml:space="preserve">.</w:t>
      </w:r>
      <w:r>
        <w:t xml:space="preserve"> </w:t>
      </w:r>
      <w:hyperlink r:id="rId357">
        <w:r>
          <w:rPr>
            <w:rStyle w:val="Hyperlink"/>
          </w:rPr>
          <w:t xml:space="preserve">https://CRAN.R-project.org/package=terra</w:t>
        </w:r>
      </w:hyperlink>
    </w:p>
    <w:bookmarkEnd w:id="358"/>
    <w:bookmarkStart w:id="359"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9"/>
    <w:bookmarkStart w:id="360"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60"/>
    <w:bookmarkStart w:id="361"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61"/>
    <w:bookmarkStart w:id="363"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62">
        <w:r>
          <w:rPr>
            <w:rStyle w:val="Hyperlink"/>
          </w:rPr>
          <w:t xml:space="preserve">https://www.ipcc-nggip.iges.or.jp/public/2019rf/vol4.html</w:t>
        </w:r>
      </w:hyperlink>
    </w:p>
    <w:bookmarkEnd w:id="363"/>
    <w:bookmarkStart w:id="365"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64">
        <w:r>
          <w:rPr>
            <w:rStyle w:val="Hyperlink"/>
          </w:rPr>
          <w:t xml:space="preserve">https://www.ipcc-nggip.iges.or.jp/public/2019rf/pdf/4_Volume4/19R_V4_Ch02_Generic%20Methods.pdf</w:t>
        </w:r>
      </w:hyperlink>
    </w:p>
    <w:bookmarkEnd w:id="365"/>
    <w:bookmarkStart w:id="366"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66"/>
    <w:bookmarkStart w:id="367"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67"/>
    <w:bookmarkStart w:id="368"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68"/>
    <w:bookmarkStart w:id="369"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9"/>
    <w:bookmarkStart w:id="370"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70"/>
    <w:bookmarkStart w:id="372"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71">
        <w:r>
          <w:rPr>
            <w:rStyle w:val="Hyperlink"/>
          </w:rPr>
          <w:t xml:space="preserve">https://doi.org/10.1016/j.aquabot.2007.12.006</w:t>
        </w:r>
      </w:hyperlink>
    </w:p>
    <w:bookmarkEnd w:id="372"/>
    <w:bookmarkStart w:id="373"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73"/>
    <w:bookmarkStart w:id="374" w:name="ref-kuhn2011caret"/>
    <w:p>
      <w:pPr>
        <w:pStyle w:val="Bibliography"/>
      </w:pPr>
      <w:r>
        <w:t xml:space="preserve">Kuhn, M. (2011).</w:t>
      </w:r>
      <w:r>
        <w:t xml:space="preserve"> </w:t>
      </w:r>
      <w:r>
        <w:rPr>
          <w:i/>
          <w:iCs/>
        </w:rPr>
        <w:t xml:space="preserve">The caret package</w:t>
      </w:r>
      <w:r>
        <w:t xml:space="preserve">.</w:t>
      </w:r>
    </w:p>
    <w:bookmarkEnd w:id="374"/>
    <w:bookmarkStart w:id="375"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75"/>
    <w:bookmarkStart w:id="376"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76"/>
    <w:bookmarkStart w:id="377"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77"/>
    <w:bookmarkStart w:id="378"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8"/>
    <w:bookmarkStart w:id="379"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9"/>
    <w:bookmarkStart w:id="380"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80"/>
    <w:bookmarkStart w:id="381"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81"/>
    <w:bookmarkStart w:id="382"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82"/>
    <w:bookmarkStart w:id="384"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3">
        <w:r>
          <w:rPr>
            <w:rStyle w:val="Hyperlink"/>
          </w:rPr>
          <w:t xml:space="preserve">https://doi.org/10.1111/2041-210X.12753</w:t>
        </w:r>
      </w:hyperlink>
    </w:p>
    <w:bookmarkEnd w:id="384"/>
    <w:bookmarkStart w:id="385"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3">
        <w:r>
          <w:rPr>
            <w:rStyle w:val="Hyperlink"/>
          </w:rPr>
          <w:t xml:space="preserve">https://doi.org/10.1111/2041-210X.12753</w:t>
        </w:r>
      </w:hyperlink>
    </w:p>
    <w:bookmarkEnd w:id="385"/>
    <w:bookmarkStart w:id="386"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6"/>
    <w:bookmarkStart w:id="387"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7"/>
    <w:bookmarkStart w:id="388"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8"/>
    <w:bookmarkStart w:id="389"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9"/>
    <w:bookmarkStart w:id="390"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90"/>
    <w:bookmarkStart w:id="392"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91">
        <w:r>
          <w:rPr>
            <w:rStyle w:val="Hyperlink"/>
          </w:rPr>
          <w:t xml:space="preserve">https://doi.org/10.1002/j.1538-7305.1948.tb01338.x</w:t>
        </w:r>
      </w:hyperlink>
    </w:p>
    <w:bookmarkEnd w:id="392"/>
    <w:bookmarkStart w:id="393"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93"/>
    <w:bookmarkStart w:id="394"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94"/>
    <w:bookmarkStart w:id="395"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5"/>
    <w:bookmarkStart w:id="397"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396">
        <w:r>
          <w:rPr>
            <w:rStyle w:val="Hyperlink"/>
          </w:rPr>
          <w:t xml:space="preserve">https://doi.org/10.3390/rs13132428</w:t>
        </w:r>
      </w:hyperlink>
    </w:p>
    <w:bookmarkEnd w:id="397"/>
    <w:bookmarkStart w:id="398"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98"/>
    <w:bookmarkStart w:id="399"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99"/>
    <w:bookmarkStart w:id="401"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400">
        <w:r>
          <w:rPr>
            <w:rStyle w:val="Hyperlink"/>
          </w:rPr>
          <w:t xml:space="preserve">https://doi.org/10.1080/07038992.2021.1941823</w:t>
        </w:r>
      </w:hyperlink>
    </w:p>
    <w:bookmarkEnd w:id="401"/>
    <w:bookmarkStart w:id="402"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402"/>
    <w:bookmarkStart w:id="403"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403"/>
    <w:bookmarkStart w:id="404"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404"/>
    <w:bookmarkStart w:id="405"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05"/>
    <w:bookmarkStart w:id="406"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06"/>
    <w:bookmarkEnd w:id="407"/>
    <w:bookmarkEnd w:id="408"/>
    <w:bookmarkStart w:id="411" w:name="glossary-of-terms"/>
    <w:p>
      <w:pPr>
        <w:pStyle w:val="Heading1"/>
      </w:pPr>
      <w:r>
        <w:t xml:space="preserve">Glossary of Terms</w:t>
      </w:r>
    </w:p>
    <w:p>
      <w:pPr>
        <w:pStyle w:val="Compact"/>
        <w:numPr>
          <w:ilvl w:val="0"/>
          <w:numId w:val="1092"/>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92"/>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92"/>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92"/>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92"/>
        </w:numPr>
      </w:pPr>
      <w:r>
        <w:rPr>
          <w:b/>
          <w:bCs/>
        </w:rPr>
        <w:t xml:space="preserve">Back-casting</w:t>
      </w:r>
      <w:r>
        <w:t xml:space="preserve">: The opposite of forecasting. Predicting conditions in the past from current conditions.</w:t>
      </w:r>
    </w:p>
    <w:p>
      <w:pPr>
        <w:pStyle w:val="Compact"/>
        <w:numPr>
          <w:ilvl w:val="0"/>
          <w:numId w:val="1092"/>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92"/>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92"/>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92"/>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92"/>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92"/>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92"/>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92"/>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92"/>
        </w:numPr>
      </w:pPr>
      <w:r>
        <w:rPr>
          <w:b/>
          <w:bCs/>
        </w:rPr>
        <w:t xml:space="preserve">Monte Carlo Method</w:t>
      </w:r>
      <w:r>
        <w:t xml:space="preserve">:</w:t>
      </w:r>
      <w:r>
        <w:rPr>
          <w:rStyle w:val="FootnoteReference"/>
        </w:rPr>
        <w:footnoteReference w:id="409"/>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92"/>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92"/>
        </w:numPr>
      </w:pPr>
      <w:r>
        <w:rPr>
          <w:b/>
          <w:bCs/>
        </w:rPr>
        <w:t xml:space="preserve">Oxidation:</w:t>
      </w:r>
      <w:r>
        <w:t xml:space="preserve"> </w:t>
      </w:r>
      <w:r>
        <w:t xml:space="preserve">Chemically transform of a substance by combining it with oxygen.</w:t>
      </w:r>
    </w:p>
    <w:p>
      <w:pPr>
        <w:pStyle w:val="Compact"/>
        <w:numPr>
          <w:ilvl w:val="0"/>
          <w:numId w:val="1092"/>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92"/>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92"/>
        </w:numPr>
      </w:pPr>
      <w:r>
        <w:rPr>
          <w:b/>
          <w:bCs/>
        </w:rPr>
        <w:t xml:space="preserve">Removals:</w:t>
      </w:r>
      <w:r>
        <w:t xml:space="preserve"> </w:t>
      </w:r>
      <w:r>
        <w:t xml:space="preserve">Removal of greenhouse gases and/or their precursors from the atmosphere by a sink.</w:t>
      </w:r>
    </w:p>
    <w:p>
      <w:pPr>
        <w:pStyle w:val="Compact"/>
        <w:numPr>
          <w:ilvl w:val="0"/>
          <w:numId w:val="1092"/>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92"/>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92"/>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92"/>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92"/>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92"/>
        </w:numPr>
      </w:pPr>
      <w:r>
        <w:t xml:space="preserve">Several definitions above were copied from the</w:t>
      </w:r>
      <w:r>
        <w:t xml:space="preserve"> </w:t>
      </w:r>
      <w:hyperlink r:id="rId410">
        <w:r>
          <w:rPr>
            <w:rStyle w:val="Hyperlink"/>
          </w:rPr>
          <w:t xml:space="preserve">IPCC’s 2006 Glossary of Terms</w:t>
        </w:r>
      </w:hyperlink>
    </w:p>
    <w:bookmarkEnd w:id="411"/>
    <w:bookmarkStart w:id="441" w:name="additional-reading"/>
    <w:p>
      <w:pPr>
        <w:pStyle w:val="Heading1"/>
      </w:pPr>
      <w:r>
        <w:t xml:space="preserve">Additional Reading</w:t>
      </w:r>
    </w:p>
    <w:bookmarkStart w:id="416" w:name="allometric-uncertainty-1"/>
    <w:p>
      <w:pPr>
        <w:pStyle w:val="Heading4"/>
      </w:pPr>
      <w:r>
        <w:rPr>
          <w:i/>
          <w:iCs/>
        </w:rPr>
        <w:t xml:space="preserve">Allometric Uncertainty:</w:t>
      </w:r>
    </w:p>
    <w:p>
      <w:pPr>
        <w:pStyle w:val="Compact"/>
        <w:numPr>
          <w:ilvl w:val="0"/>
          <w:numId w:val="1093"/>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93"/>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12">
        <w:r>
          <w:rPr>
            <w:rStyle w:val="Hyperlink"/>
          </w:rPr>
          <w:t xml:space="preserve">https://doi.org/10.5589/m06-030</w:t>
        </w:r>
      </w:hyperlink>
    </w:p>
    <w:p>
      <w:pPr>
        <w:pStyle w:val="Compact"/>
        <w:numPr>
          <w:ilvl w:val="0"/>
          <w:numId w:val="1093"/>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93"/>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48">
        <w:r>
          <w:rPr>
            <w:rStyle w:val="Hyperlink"/>
          </w:rPr>
          <w:t xml:space="preserve">https://doi.org/10.5067/DOC/CEOSWGCV/LPV/AGB.001</w:t>
        </w:r>
      </w:hyperlink>
    </w:p>
    <w:p>
      <w:pPr>
        <w:pStyle w:val="Compact"/>
        <w:numPr>
          <w:ilvl w:val="0"/>
          <w:numId w:val="1093"/>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93"/>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93"/>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93"/>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13">
        <w:r>
          <w:rPr>
            <w:rStyle w:val="Hyperlink"/>
          </w:rPr>
          <w:t xml:space="preserve">https://doi.org/10.1007/s13595-015-0473-x</w:t>
        </w:r>
      </w:hyperlink>
    </w:p>
    <w:p>
      <w:pPr>
        <w:pStyle w:val="Compact"/>
        <w:numPr>
          <w:ilvl w:val="0"/>
          <w:numId w:val="1093"/>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93"/>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93"/>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93"/>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14">
        <w:r>
          <w:rPr>
            <w:rStyle w:val="Hyperlink"/>
          </w:rPr>
          <w:t xml:space="preserve">https://doi.org/10.1007/s13595-014-0434-9</w:t>
        </w:r>
      </w:hyperlink>
    </w:p>
    <w:p>
      <w:pPr>
        <w:pStyle w:val="Compact"/>
        <w:numPr>
          <w:ilvl w:val="0"/>
          <w:numId w:val="1093"/>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93"/>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93"/>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93"/>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93"/>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93"/>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93"/>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93"/>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15">
        <w:r>
          <w:rPr>
            <w:rStyle w:val="Hyperlink"/>
          </w:rPr>
          <w:t xml:space="preserve">https://doi.org/10.1007/s10021-010-9315-8</w:t>
        </w:r>
      </w:hyperlink>
    </w:p>
    <w:p>
      <w:pPr>
        <w:pStyle w:val="Compact"/>
        <w:numPr>
          <w:ilvl w:val="0"/>
          <w:numId w:val="1093"/>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93"/>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16"/>
    <w:bookmarkStart w:id="417" w:name="emission-factor-uncertainty"/>
    <w:p>
      <w:pPr>
        <w:pStyle w:val="Heading4"/>
      </w:pPr>
      <w:r>
        <w:rPr>
          <w:i/>
          <w:iCs/>
        </w:rPr>
        <w:t xml:space="preserve">Emission Factor Uncertainty:</w:t>
      </w:r>
    </w:p>
    <w:p>
      <w:pPr>
        <w:pStyle w:val="Compact"/>
        <w:numPr>
          <w:ilvl w:val="0"/>
          <w:numId w:val="1094"/>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94"/>
        </w:numPr>
      </w:pPr>
      <w:r>
        <w:t xml:space="preserve">Brown, J.K. (1974). Handbook for inventorying downed woody material. USDA Forest Service General</w:t>
      </w:r>
      <w:r>
        <w:t xml:space="preserve"> </w:t>
      </w:r>
      <w:r>
        <w:t xml:space="preserve">Technical Report INT-16.</w:t>
      </w:r>
    </w:p>
    <w:p>
      <w:pPr>
        <w:pStyle w:val="Compact"/>
        <w:numPr>
          <w:ilvl w:val="0"/>
          <w:numId w:val="1094"/>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94"/>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94"/>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94"/>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94"/>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94"/>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94"/>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94"/>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17"/>
    <w:bookmarkStart w:id="419" w:name="activity-data-uncertainty"/>
    <w:p>
      <w:pPr>
        <w:pStyle w:val="Heading4"/>
      </w:pPr>
      <w:r>
        <w:rPr>
          <w:i/>
          <w:iCs/>
        </w:rPr>
        <w:t xml:space="preserve">Activity Data Uncertainty:</w:t>
      </w:r>
    </w:p>
    <w:p>
      <w:pPr>
        <w:pStyle w:val="Compact"/>
        <w:numPr>
          <w:ilvl w:val="0"/>
          <w:numId w:val="1095"/>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95"/>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18">
        <w:r>
          <w:rPr>
            <w:rStyle w:val="Hyperlink"/>
          </w:rPr>
          <w:t xml:space="preserve">https://doi.org/10.1016/j.rse.2015.01.009</w:t>
        </w:r>
      </w:hyperlink>
    </w:p>
    <w:p>
      <w:pPr>
        <w:pStyle w:val="Compact"/>
        <w:numPr>
          <w:ilvl w:val="0"/>
          <w:numId w:val="1095"/>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95"/>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95"/>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95"/>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95"/>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95"/>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95"/>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19"/>
    <w:bookmarkStart w:id="422" w:name="monte-carlo-methods"/>
    <w:p>
      <w:pPr>
        <w:pStyle w:val="Heading4"/>
      </w:pPr>
      <w:r>
        <w:rPr>
          <w:i/>
          <w:iCs/>
        </w:rPr>
        <w:t xml:space="preserve">Monte Carlo Methods:</w:t>
      </w:r>
    </w:p>
    <w:p>
      <w:pPr>
        <w:pStyle w:val="Compact"/>
        <w:numPr>
          <w:ilvl w:val="0"/>
          <w:numId w:val="1096"/>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20">
        <w:r>
          <w:rPr>
            <w:rStyle w:val="Hyperlink"/>
          </w:rPr>
          <w:t xml:space="preserve">https://doi.org/10.1007/s10021-014-9749-5</w:t>
        </w:r>
      </w:hyperlink>
    </w:p>
    <w:p>
      <w:pPr>
        <w:pStyle w:val="Compact"/>
        <w:numPr>
          <w:ilvl w:val="0"/>
          <w:numId w:val="1096"/>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96"/>
        </w:numPr>
      </w:pPr>
      <w:r>
        <w:t xml:space="preserve">Molto, Q., Rossi, V., &amp; Blanc, L. (2013). Error propagation in biomass estimation in tropical</w:t>
      </w:r>
      <w:r>
        <w:t xml:space="preserve"> </w:t>
      </w:r>
      <w:r>
        <w:t xml:space="preserve">forests. Methods in Ecology and Evolution, 4(2), 175–183.</w:t>
      </w:r>
      <w:r>
        <w:t xml:space="preserve"> </w:t>
      </w:r>
      <w:hyperlink r:id="rId421">
        <w:r>
          <w:rPr>
            <w:rStyle w:val="Hyperlink"/>
          </w:rPr>
          <w:t xml:space="preserve">https://doi.org/10.1111/j.2041-210x.2012.00266.x</w:t>
        </w:r>
      </w:hyperlink>
    </w:p>
    <w:p>
      <w:pPr>
        <w:pStyle w:val="Compact"/>
        <w:numPr>
          <w:ilvl w:val="0"/>
          <w:numId w:val="1096"/>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15">
        <w:r>
          <w:rPr>
            <w:rStyle w:val="Hyperlink"/>
          </w:rPr>
          <w:t xml:space="preserve">https://doi.org/10.1007/s10021-010-9315-8</w:t>
        </w:r>
      </w:hyperlink>
    </w:p>
    <w:bookmarkEnd w:id="422"/>
    <w:bookmarkStart w:id="423" w:name="biostatistical-theory"/>
    <w:p>
      <w:pPr>
        <w:pStyle w:val="Heading4"/>
      </w:pPr>
      <w:r>
        <w:rPr>
          <w:i/>
          <w:iCs/>
        </w:rPr>
        <w:t xml:space="preserve">Biostatistical Theory:</w:t>
      </w:r>
    </w:p>
    <w:p>
      <w:pPr>
        <w:pStyle w:val="Compact"/>
        <w:numPr>
          <w:ilvl w:val="0"/>
          <w:numId w:val="1097"/>
        </w:numPr>
      </w:pPr>
      <w:r>
        <w:t xml:space="preserve">Buchanan, M. (2000). Ubiquity: Why Catastrophes Happen. Three Rivers Press.</w:t>
      </w:r>
    </w:p>
    <w:p>
      <w:pPr>
        <w:pStyle w:val="Compact"/>
        <w:numPr>
          <w:ilvl w:val="0"/>
          <w:numId w:val="1097"/>
        </w:numPr>
      </w:pPr>
      <w:r>
        <w:t xml:space="preserve">Mandelbrot, B. B., &amp; Hudson, R. L. (2004). The Misbehavior of Markets: A Fractal View of</w:t>
      </w:r>
      <w:r>
        <w:t xml:space="preserve"> </w:t>
      </w:r>
      <w:r>
        <w:t xml:space="preserve">Financial Turbulence. Basic Books.</w:t>
      </w:r>
    </w:p>
    <w:p>
      <w:pPr>
        <w:pStyle w:val="Compact"/>
        <w:numPr>
          <w:ilvl w:val="0"/>
          <w:numId w:val="1097"/>
        </w:numPr>
      </w:pPr>
      <w:r>
        <w:t xml:space="preserve">Strogatz, S. H. (2003). Sync: How Order Emerges from Chaos in the Universe, Nature, and Daily</w:t>
      </w:r>
      <w:r>
        <w:t xml:space="preserve"> </w:t>
      </w:r>
      <w:r>
        <w:t xml:space="preserve">Life. Hyperion.</w:t>
      </w:r>
    </w:p>
    <w:p>
      <w:pPr>
        <w:pStyle w:val="Compact"/>
        <w:numPr>
          <w:ilvl w:val="0"/>
          <w:numId w:val="1097"/>
        </w:numPr>
      </w:pPr>
      <w:r>
        <w:t xml:space="preserve">Taleb, N. N. (2007). The Black Swan: The Impact of the Highly Improbable. Random House.</w:t>
      </w:r>
    </w:p>
    <w:bookmarkEnd w:id="423"/>
    <w:bookmarkStart w:id="439"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24">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25">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26">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4">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27">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28">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29">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30">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31">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32">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33">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5">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34">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35">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7">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36">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37">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38">
              <w:r>
                <w:rPr>
                  <w:rStyle w:val="Hyperlink"/>
                </w:rPr>
                <w:t xml:space="preserve">Link</w:t>
              </w:r>
            </w:hyperlink>
          </w:p>
        </w:tc>
      </w:tr>
    </w:tbl>
    <w:bookmarkEnd w:id="439"/>
    <w:bookmarkStart w:id="440"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98"/>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40"/>
    <w:bookmarkEnd w:id="441"/>
    <w:bookmarkStart w:id="442"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99"/>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100"/>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42"/>
    <w:bookmarkStart w:id="443"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43"/>
    <w:bookmarkStart w:id="444"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44"/>
    <w:bookmarkStart w:id="445"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45"/>
    <w:bookmarkStart w:id="446"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46"/>
    <w:bookmarkStart w:id="447"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47"/>
    <w:bookmarkStart w:id="448" w:name="set-seed-for-reproducibility"/>
    <w:p>
      <w:pPr>
        <w:pStyle w:val="Heading1"/>
      </w:pPr>
      <w:r>
        <w:t xml:space="preserve">Set seed for reproducibility</w:t>
      </w:r>
    </w:p>
    <w:p>
      <w:pPr>
        <w:pStyle w:val="FirstParagraph"/>
      </w:pPr>
      <w:r>
        <w:t xml:space="preserve">set.seed(42)</w:t>
      </w:r>
    </w:p>
    <w:bookmarkEnd w:id="448"/>
    <w:bookmarkStart w:id="449" w:name="number-of-monte-carlo-iterations"/>
    <w:p>
      <w:pPr>
        <w:pStyle w:val="Heading1"/>
      </w:pPr>
      <w:r>
        <w:t xml:space="preserve">Number of Monte Carlo iterations</w:t>
      </w:r>
    </w:p>
    <w:p>
      <w:pPr>
        <w:pStyle w:val="FirstParagraph"/>
      </w:pPr>
      <w:r>
        <w:t xml:space="preserve">n_sim &lt;- 10000</w:t>
      </w:r>
    </w:p>
    <w:bookmarkEnd w:id="449"/>
    <w:bookmarkStart w:id="450"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50"/>
    <w:bookmarkStart w:id="451"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51"/>
    <w:bookmarkStart w:id="452"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52"/>
    <w:bookmarkStart w:id="453" w:name="gwp-100-values-ipcc-ar6"/>
    <w:p>
      <w:pPr>
        <w:pStyle w:val="Heading1"/>
      </w:pPr>
      <w:r>
        <w:t xml:space="preserve">GWP-100 values (IPCC AR6)</w:t>
      </w:r>
    </w:p>
    <w:p>
      <w:pPr>
        <w:pStyle w:val="FirstParagraph"/>
      </w:pPr>
      <w:r>
        <w:t xml:space="preserve">GWP_CH4 &lt;- 28 GWP_N2O &lt;- 265</w:t>
      </w:r>
    </w:p>
    <w:bookmarkEnd w:id="453"/>
    <w:bookmarkStart w:id="454"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54"/>
    <w:bookmarkStart w:id="455"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55"/>
    <w:bookmarkStart w:id="456"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56"/>
    <w:bookmarkStart w:id="457"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101"/>
        </w:numPr>
      </w:pPr>
      <w:r>
        <w:t xml:space="preserve">Flight planning:</w:t>
      </w:r>
    </w:p>
    <w:bookmarkEnd w:id="457"/>
    <w:bookmarkStart w:id="458"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58"/>
    <w:bookmarkStart w:id="459"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102"/>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103"/>
        </w:numPr>
      </w:pPr>
      <w:r>
        <w:t xml:space="preserve">Gas concentration analysis:</w:t>
      </w:r>
    </w:p>
    <w:bookmarkEnd w:id="459"/>
    <w:bookmarkStart w:id="460"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60"/>
    <w:bookmarkStart w:id="461"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61"/>
    <w:bookmarkStart w:id="462"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62"/>
    <w:bookmarkStart w:id="463"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63"/>
    <w:bookmarkStart w:id="464"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64"/>
    <w:bookmarkStart w:id="465"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65"/>
    <w:bookmarkStart w:id="466" w:name="section-1"/>
    <w:p>
      <w:pPr>
        <w:pStyle w:val="Heading1"/>
      </w:pPr>
      <w:r>
        <w:t xml:space="preserve">=============================================================================</w:t>
      </w:r>
    </w:p>
    <w:bookmarkEnd w:id="466"/>
    <w:bookmarkStart w:id="467" w:name="X79659c6e2da773b1f424fba67068bae538f9fa8"/>
    <w:p>
      <w:pPr>
        <w:pStyle w:val="Heading1"/>
      </w:pPr>
      <w:r>
        <w:t xml:space="preserve">ART-TREES COMPLIANT EMISSION FACTOR UNCERTAINTY ASSESSMENT</w:t>
      </w:r>
    </w:p>
    <w:bookmarkEnd w:id="467"/>
    <w:bookmarkStart w:id="468" w:name="Xab64bd744c5122dd682fb63986a501df36be991"/>
    <w:p>
      <w:pPr>
        <w:pStyle w:val="Heading1"/>
      </w:pPr>
      <w:r>
        <w:t xml:space="preserve">Combines: Emission factors + Combustion factor + Biomass uncertainty</w:t>
      </w:r>
    </w:p>
    <w:bookmarkEnd w:id="468"/>
    <w:bookmarkStart w:id="469" w:name="section-2"/>
    <w:p>
      <w:pPr>
        <w:pStyle w:val="Heading1"/>
      </w:pPr>
      <w:r>
        <w:t xml:space="preserve">=============================================================================</w:t>
      </w:r>
    </w:p>
    <w:p>
      <w:pPr>
        <w:pStyle w:val="FirstParagraph"/>
      </w:pPr>
      <w:r>
        <w:t xml:space="preserve">set.seed(2025) n_sim &lt;- 10000</w:t>
      </w:r>
    </w:p>
    <w:bookmarkEnd w:id="469"/>
    <w:bookmarkStart w:id="470"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70"/>
    <w:bookmarkStart w:id="471"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71"/>
    <w:bookmarkStart w:id="472"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72"/>
    <w:bookmarkStart w:id="473"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73"/>
    <w:bookmarkStart w:id="474"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74"/>
    <w:bookmarkStart w:id="475"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75"/>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30">
    <w:p>
      <w:pPr>
        <w:pStyle w:val="FootnoteText"/>
      </w:pPr>
      <w:r>
        <w:rPr>
          <w:rStyle w:val="FootnoteReference"/>
        </w:rPr>
        <w:footnoteRef/>
      </w:r>
      <w:r>
        <w:t xml:space="preserve"> </w:t>
      </w:r>
      <w:r>
        <w:t xml:space="preserve">i.e.,</w:t>
      </w:r>
      <w:r>
        <w:t xml:space="preserve"> </w:t>
      </w:r>
      <w:hyperlink r:id="rId31">
        <w:r>
          <w:rPr>
            <w:rStyle w:val="Hyperlink"/>
          </w:rPr>
          <w:t xml:space="preserve">https://seamusmurphy.shinyapps.io/winrock-monte-carlo/</w:t>
        </w:r>
      </w:hyperlink>
    </w:p>
  </w:footnote>
  <w:footnote w:id="38">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8"/>
        </w:numPr>
      </w:pPr>
      <w:r>
        <w:t xml:space="preserve">Amazon Web Services (AWS): Open data Sentinel-2/2A Level-2A collections for the Earth’s land surface.</w:t>
      </w:r>
    </w:p>
    <w:p>
      <w:pPr>
        <w:pStyle w:val="Compact"/>
        <w:numPr>
          <w:ilvl w:val="0"/>
          <w:numId w:val="1008"/>
        </w:numPr>
      </w:pPr>
      <w:r>
        <w:t xml:space="preserve">Brazil Data Cube (BDC): Open data collections of Sentinel-2/2A, Landsat-8, CBERS-4/4A, and MOD13Q1 products for Brazil. These collections are organized as regular data cubes.</w:t>
      </w:r>
    </w:p>
    <w:p>
      <w:pPr>
        <w:pStyle w:val="Compact"/>
        <w:numPr>
          <w:ilvl w:val="0"/>
          <w:numId w:val="1008"/>
        </w:numPr>
      </w:pPr>
      <w:r>
        <w:t xml:space="preserve">Copernicus Data Space Ecosystem (CDSE): Open data collections of Sentinel-1 RTC and Sentinel-2/2A images.</w:t>
      </w:r>
    </w:p>
    <w:p>
      <w:pPr>
        <w:pStyle w:val="Compact"/>
        <w:numPr>
          <w:ilvl w:val="0"/>
          <w:numId w:val="1008"/>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t xml:space="preserve">Harmonized Landsat-Sentinel (HLS): HLS, provided by NASA, is an open data collection that processes Landsat 8 and Sentinel-2 imagery to a common standard.</w:t>
      </w:r>
    </w:p>
    <w:p>
      <w:pPr>
        <w:pStyle w:val="Compact"/>
        <w:numPr>
          <w:ilvl w:val="0"/>
          <w:numId w:val="1008"/>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t xml:space="preserve">Swiss Data Cube (SDC): Collection of Sentinel-2/2A and Landsat-8 images for Switzerland.</w:t>
      </w:r>
    </w:p>
    <w:p>
      <w:pPr>
        <w:pStyle w:val="Compact"/>
        <w:numPr>
          <w:ilvl w:val="0"/>
          <w:numId w:val="1008"/>
        </w:numPr>
      </w:pPr>
      <w:r>
        <w:t xml:space="preserve">Terrascope: Cloud service with EO products, which includes the ESA World Cover map.</w:t>
      </w:r>
    </w:p>
    <w:p>
      <w:pPr>
        <w:pStyle w:val="Compact"/>
        <w:numPr>
          <w:ilvl w:val="0"/>
          <w:numId w:val="1008"/>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86">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179">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72"/>
        </w:numPr>
      </w:pPr>
      <w:r>
        <w:t xml:space="preserve">Amazon Web Services (AWS): Open data Sentinel-2/2A Level-2A collections for the Earth’s land surface.</w:t>
      </w:r>
    </w:p>
    <w:p>
      <w:pPr>
        <w:pStyle w:val="Compact"/>
        <w:numPr>
          <w:ilvl w:val="0"/>
          <w:numId w:val="1072"/>
        </w:numPr>
      </w:pPr>
      <w:r>
        <w:t xml:space="preserve">Brazil Data Cube (BDC): Open data collections of Sentinel-2/2A, Landsat-8, CBERS-4/4A, and MOD13Q1 products for Brazil. These collections are organized as regular data cubes.</w:t>
      </w:r>
    </w:p>
    <w:p>
      <w:pPr>
        <w:pStyle w:val="Compact"/>
        <w:numPr>
          <w:ilvl w:val="0"/>
          <w:numId w:val="1072"/>
        </w:numPr>
      </w:pPr>
      <w:r>
        <w:t xml:space="preserve">Copernicus Data Space Ecosystem (CDSE): Open data collections of Sentinel-1 RTC and Sentinel-2/2A images.</w:t>
      </w:r>
    </w:p>
    <w:p>
      <w:pPr>
        <w:pStyle w:val="Compact"/>
        <w:numPr>
          <w:ilvl w:val="0"/>
          <w:numId w:val="1072"/>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72"/>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72"/>
        </w:numPr>
      </w:pPr>
      <w:r>
        <w:t xml:space="preserve">Harmonized Landsat-Sentinel (HLS): HLS, provided by NASA, is an open data collection that processes Landsat 8 and Sentinel-2 imagery to a common standard.</w:t>
      </w:r>
    </w:p>
    <w:p>
      <w:pPr>
        <w:pStyle w:val="Compact"/>
        <w:numPr>
          <w:ilvl w:val="0"/>
          <w:numId w:val="1072"/>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72"/>
        </w:numPr>
      </w:pPr>
      <w:r>
        <w:t xml:space="preserve">Swiss Data Cube (SDC): Collection of Sentinel-2/2A and Landsat-8 images for Switzerland.</w:t>
      </w:r>
    </w:p>
    <w:p>
      <w:pPr>
        <w:pStyle w:val="Compact"/>
        <w:numPr>
          <w:ilvl w:val="0"/>
          <w:numId w:val="1072"/>
        </w:numPr>
      </w:pPr>
      <w:r>
        <w:t xml:space="preserve">Terrascope: Cloud service with EO products, which includes the ESA World Cover map.</w:t>
      </w:r>
    </w:p>
    <w:p>
      <w:pPr>
        <w:pStyle w:val="Compact"/>
        <w:numPr>
          <w:ilvl w:val="0"/>
          <w:numId w:val="1072"/>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84">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09">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5" Target="media/rId295.png" /><Relationship Type="http://schemas.openxmlformats.org/officeDocument/2006/relationships/image" Id="rId34" Target="media/rId34.png" /><Relationship Type="http://schemas.openxmlformats.org/officeDocument/2006/relationships/image" Id="rId100" Target="media/rId10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75" Target="media/rId175.png" /><Relationship Type="http://schemas.openxmlformats.org/officeDocument/2006/relationships/image" Id="rId206" Target="media/rId206.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03" Target="media/rId203.png" /><Relationship Type="http://schemas.openxmlformats.org/officeDocument/2006/relationships/hyperlink" Id="rId357" Target="https://CRAN.R-project.org/package=terra" TargetMode="External" /><Relationship Type="http://schemas.openxmlformats.org/officeDocument/2006/relationships/hyperlink" Id="rId180"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91" Target="https://doi.org/10.1002/j.1538-7305.1948.tb01338.x" TargetMode="External" /><Relationship Type="http://schemas.openxmlformats.org/officeDocument/2006/relationships/hyperlink" Id="rId415" Target="https://doi.org/10.1007/s10021-010-9315-8" TargetMode="External" /><Relationship Type="http://schemas.openxmlformats.org/officeDocument/2006/relationships/hyperlink" Id="rId420" Target="https://doi.org/10.1007/s10021-014-9749-5" TargetMode="External" /><Relationship Type="http://schemas.openxmlformats.org/officeDocument/2006/relationships/hyperlink" Id="rId414" Target="https://doi.org/10.1007/s13595-014-0434-9" TargetMode="External" /><Relationship Type="http://schemas.openxmlformats.org/officeDocument/2006/relationships/hyperlink" Id="rId413" Target="https://doi.org/10.1007/s13595-015-0473-x" TargetMode="External" /><Relationship Type="http://schemas.openxmlformats.org/officeDocument/2006/relationships/hyperlink" Id="rId371" Target="https://doi.org/10.1016/j.aquabot.2007.12.006" TargetMode="External" /><Relationship Type="http://schemas.openxmlformats.org/officeDocument/2006/relationships/hyperlink" Id="rId418" Target="https://doi.org/10.1016/j.rse.2015.01.009" TargetMode="External" /><Relationship Type="http://schemas.openxmlformats.org/officeDocument/2006/relationships/hyperlink" Id="rId331" Target="https://doi.org/10.1034/j.1600-0706.2003.12181.x" TargetMode="External" /><Relationship Type="http://schemas.openxmlformats.org/officeDocument/2006/relationships/hyperlink" Id="rId400" Target="https://doi.org/10.1080/07038992.2021.1941823" TargetMode="External" /><Relationship Type="http://schemas.openxmlformats.org/officeDocument/2006/relationships/hyperlink" Id="rId383" Target="https://doi.org/10.1111/2041-210X.12753" TargetMode="External" /><Relationship Type="http://schemas.openxmlformats.org/officeDocument/2006/relationships/hyperlink" Id="rId421" Target="https://doi.org/10.1111/j.2041-210x.2012.00266.x" TargetMode="External" /><Relationship Type="http://schemas.openxmlformats.org/officeDocument/2006/relationships/hyperlink" Id="rId328" Target="https://doi.org/10.3390/data4030092" TargetMode="External" /><Relationship Type="http://schemas.openxmlformats.org/officeDocument/2006/relationships/hyperlink" Id="rId396" Target="https://doi.org/10.3390/rs13132428" TargetMode="External" /><Relationship Type="http://schemas.openxmlformats.org/officeDocument/2006/relationships/hyperlink" Id="rId348" Target="https://doi.org/10.5067/DOC/CEOSWGCV/LPV/AGB.001" TargetMode="External" /><Relationship Type="http://schemas.openxmlformats.org/officeDocument/2006/relationships/hyperlink" Id="rId412" Target="https://doi.org/10.5589/m06-030" TargetMode="External" /><Relationship Type="http://schemas.openxmlformats.org/officeDocument/2006/relationships/hyperlink" Id="rId341" Target="https://e-sensing.github.io/sitsbook/uncertainty-and-active-learning.html#uncertainty-and-active-learning" TargetMode="External" /><Relationship Type="http://schemas.openxmlformats.org/officeDocument/2006/relationships/hyperlink" Id="rId476"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81" Target="https://stacspec.org/en" TargetMode="External" /><Relationship Type="http://schemas.openxmlformats.org/officeDocument/2006/relationships/hyperlink" Id="rId334" Target="https://www.artredd.org/wp-content/uploads/2021/12/TREES-2.0-August-2021-Clean.pdf" TargetMode="External" /><Relationship Type="http://schemas.openxmlformats.org/officeDocument/2006/relationships/hyperlink" Id="rId410" Target="https://www.ipcc-nggip.iges.or.jp/public/2006gl/pdf/0_Overview/V0_2_Glossary.pdf" TargetMode="External" /><Relationship Type="http://schemas.openxmlformats.org/officeDocument/2006/relationships/hyperlink" Id="rId424" Target="https://www.ipcc-nggip.iges.or.jp/public/2006gl/pdf/4_Volume4/V4_02_Ch2_Generic.pdf#page=15" TargetMode="External" /><Relationship Type="http://schemas.openxmlformats.org/officeDocument/2006/relationships/hyperlink" Id="rId425" Target="https://www.ipcc-nggip.iges.or.jp/public/2006gl/pdf/4_Volume4/V4_03_Ch3_Representation.pdf#page=6.9" TargetMode="External" /><Relationship Type="http://schemas.openxmlformats.org/officeDocument/2006/relationships/hyperlink" Id="rId107" Target="https://www.ipcc-nggip.iges.or.jp/public/2006gl/pdf/4_Volume4/V4_06_Ch6_Grassland.pdf#page=27" TargetMode="External" /><Relationship Type="http://schemas.openxmlformats.org/officeDocument/2006/relationships/hyperlink" Id="rId436" Target="https://www.ipcc-nggip.iges.or.jp/public/2006gl/pdf/4_Volume4/V4_09_Ch9_Other_Land.pdf#page=7" TargetMode="External" /><Relationship Type="http://schemas.openxmlformats.org/officeDocument/2006/relationships/hyperlink" Id="rId364" Target="https://www.ipcc-nggip.iges.or.jp/public/2019rf/pdf/4_Volume4/19R_V4_Ch02_Generic%20Methods.pdf" TargetMode="External" /><Relationship Type="http://schemas.openxmlformats.org/officeDocument/2006/relationships/hyperlink" Id="rId426" Target="https://www.ipcc-nggip.iges.or.jp/public/2019rf/pdf/4_Volume4/19R_V4_Ch02_Generic%20Methods.pdf#page=33" TargetMode="External" /><Relationship Type="http://schemas.openxmlformats.org/officeDocument/2006/relationships/hyperlink" Id="rId124" Target="https://www.ipcc-nggip.iges.or.jp/public/2019rf/pdf/4_Volume4/19R_V4_Ch02_Generic%20Methods.pdf#page=35" TargetMode="External" /><Relationship Type="http://schemas.openxmlformats.org/officeDocument/2006/relationships/hyperlink" Id="rId427" Target="https://www.ipcc-nggip.iges.or.jp/public/2019rf/pdf/4_Volume4/19R_V4_Ch03_Land%20Representation.pdf#page=11" TargetMode="External" /><Relationship Type="http://schemas.openxmlformats.org/officeDocument/2006/relationships/hyperlink" Id="rId430" Target="https://www.ipcc-nggip.iges.or.jp/public/2019rf/pdf/4_Volume4/19R_V4_Ch03_Land%20Representation.pdf#page=17" TargetMode="External" /><Relationship Type="http://schemas.openxmlformats.org/officeDocument/2006/relationships/hyperlink" Id="rId429" Target="https://www.ipcc-nggip.iges.or.jp/public/2019rf/pdf/4_Volume4/19R_V4_Ch03_Land%20Representation.pdf#page=20" TargetMode="External" /><Relationship Type="http://schemas.openxmlformats.org/officeDocument/2006/relationships/hyperlink" Id="rId428" Target="https://www.ipcc-nggip.iges.or.jp/public/2019rf/pdf/4_Volume4/19R_V4_Ch03_Land%20Representation.pdf#page=21" TargetMode="External" /><Relationship Type="http://schemas.openxmlformats.org/officeDocument/2006/relationships/hyperlink" Id="rId432" Target="https://www.ipcc-nggip.iges.or.jp/public/2019rf/pdf/4_Volume4/19R_V4_Ch03_Land%20Representation.pdf#page=35" TargetMode="External" /><Relationship Type="http://schemas.openxmlformats.org/officeDocument/2006/relationships/hyperlink" Id="rId431" Target="https://www.ipcc-nggip.iges.or.jp/public/2019rf/pdf/4_Volume4/19R_V4_Ch03_Land%20Representation.pdf#page=47" TargetMode="External" /><Relationship Type="http://schemas.openxmlformats.org/officeDocument/2006/relationships/hyperlink" Id="rId433" Target="https://www.ipcc-nggip.iges.or.jp/public/2019rf/pdf/4_Volume4/19R_V4_Ch04_Forest%20Land.pdf#page=18" TargetMode="External" /><Relationship Type="http://schemas.openxmlformats.org/officeDocument/2006/relationships/hyperlink" Id="rId115" Target="https://www.ipcc-nggip.iges.or.jp/public/2019rf/pdf/4_Volume4/19R_V4_Ch05_Cropland.pdf#page=27" TargetMode="External" /><Relationship Type="http://schemas.openxmlformats.org/officeDocument/2006/relationships/hyperlink" Id="rId434" Target="https://www.ipcc-nggip.iges.or.jp/public/2019rf/pdf/4_Volume4/19R_V4_Ch05_Cropland.pdf#page=41.9" TargetMode="External" /><Relationship Type="http://schemas.openxmlformats.org/officeDocument/2006/relationships/hyperlink" Id="rId435" Target="https://www.ipcc-nggip.iges.or.jp/public/2019rf/pdf/4_Volume4/19R_V4_Ch05_Cropland.pdf#page=45" TargetMode="External" /><Relationship Type="http://schemas.openxmlformats.org/officeDocument/2006/relationships/hyperlink" Id="rId362" Target="https://www.ipcc-nggip.iges.or.jp/public/2019rf/vol4.html" TargetMode="External" /><Relationship Type="http://schemas.openxmlformats.org/officeDocument/2006/relationships/hyperlink" Id="rId438" Target="https://www.ipcc.ch/report/ar6/wg1/downloads/report/IPCC_AR6_WGI_Chapter07.pdf#page=95" TargetMode="External" /><Relationship Type="http://schemas.openxmlformats.org/officeDocument/2006/relationships/hyperlink" Id="rId437"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357" Target="https://CRAN.R-project.org/package=terra" TargetMode="External" /><Relationship Type="http://schemas.openxmlformats.org/officeDocument/2006/relationships/hyperlink" Id="rId180"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91" Target="https://doi.org/10.1002/j.1538-7305.1948.tb01338.x" TargetMode="External" /><Relationship Type="http://schemas.openxmlformats.org/officeDocument/2006/relationships/hyperlink" Id="rId415" Target="https://doi.org/10.1007/s10021-010-9315-8" TargetMode="External" /><Relationship Type="http://schemas.openxmlformats.org/officeDocument/2006/relationships/hyperlink" Id="rId420" Target="https://doi.org/10.1007/s10021-014-9749-5" TargetMode="External" /><Relationship Type="http://schemas.openxmlformats.org/officeDocument/2006/relationships/hyperlink" Id="rId414" Target="https://doi.org/10.1007/s13595-014-0434-9" TargetMode="External" /><Relationship Type="http://schemas.openxmlformats.org/officeDocument/2006/relationships/hyperlink" Id="rId413" Target="https://doi.org/10.1007/s13595-015-0473-x" TargetMode="External" /><Relationship Type="http://schemas.openxmlformats.org/officeDocument/2006/relationships/hyperlink" Id="rId371" Target="https://doi.org/10.1016/j.aquabot.2007.12.006" TargetMode="External" /><Relationship Type="http://schemas.openxmlformats.org/officeDocument/2006/relationships/hyperlink" Id="rId418" Target="https://doi.org/10.1016/j.rse.2015.01.009" TargetMode="External" /><Relationship Type="http://schemas.openxmlformats.org/officeDocument/2006/relationships/hyperlink" Id="rId331" Target="https://doi.org/10.1034/j.1600-0706.2003.12181.x" TargetMode="External" /><Relationship Type="http://schemas.openxmlformats.org/officeDocument/2006/relationships/hyperlink" Id="rId400" Target="https://doi.org/10.1080/07038992.2021.1941823" TargetMode="External" /><Relationship Type="http://schemas.openxmlformats.org/officeDocument/2006/relationships/hyperlink" Id="rId383" Target="https://doi.org/10.1111/2041-210X.12753" TargetMode="External" /><Relationship Type="http://schemas.openxmlformats.org/officeDocument/2006/relationships/hyperlink" Id="rId421" Target="https://doi.org/10.1111/j.2041-210x.2012.00266.x" TargetMode="External" /><Relationship Type="http://schemas.openxmlformats.org/officeDocument/2006/relationships/hyperlink" Id="rId328" Target="https://doi.org/10.3390/data4030092" TargetMode="External" /><Relationship Type="http://schemas.openxmlformats.org/officeDocument/2006/relationships/hyperlink" Id="rId396" Target="https://doi.org/10.3390/rs13132428" TargetMode="External" /><Relationship Type="http://schemas.openxmlformats.org/officeDocument/2006/relationships/hyperlink" Id="rId348" Target="https://doi.org/10.5067/DOC/CEOSWGCV/LPV/AGB.001" TargetMode="External" /><Relationship Type="http://schemas.openxmlformats.org/officeDocument/2006/relationships/hyperlink" Id="rId412" Target="https://doi.org/10.5589/m06-030" TargetMode="External" /><Relationship Type="http://schemas.openxmlformats.org/officeDocument/2006/relationships/hyperlink" Id="rId341" Target="https://e-sensing.github.io/sitsbook/uncertainty-and-active-learning.html#uncertainty-and-active-learning" TargetMode="External" /><Relationship Type="http://schemas.openxmlformats.org/officeDocument/2006/relationships/hyperlink" Id="rId476"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81" Target="https://stacspec.org/en" TargetMode="External" /><Relationship Type="http://schemas.openxmlformats.org/officeDocument/2006/relationships/hyperlink" Id="rId334" Target="https://www.artredd.org/wp-content/uploads/2021/12/TREES-2.0-August-2021-Clean.pdf" TargetMode="External" /><Relationship Type="http://schemas.openxmlformats.org/officeDocument/2006/relationships/hyperlink" Id="rId410" Target="https://www.ipcc-nggip.iges.or.jp/public/2006gl/pdf/0_Overview/V0_2_Glossary.pdf" TargetMode="External" /><Relationship Type="http://schemas.openxmlformats.org/officeDocument/2006/relationships/hyperlink" Id="rId424" Target="https://www.ipcc-nggip.iges.or.jp/public/2006gl/pdf/4_Volume4/V4_02_Ch2_Generic.pdf#page=15" TargetMode="External" /><Relationship Type="http://schemas.openxmlformats.org/officeDocument/2006/relationships/hyperlink" Id="rId425" Target="https://www.ipcc-nggip.iges.or.jp/public/2006gl/pdf/4_Volume4/V4_03_Ch3_Representation.pdf#page=6.9" TargetMode="External" /><Relationship Type="http://schemas.openxmlformats.org/officeDocument/2006/relationships/hyperlink" Id="rId107" Target="https://www.ipcc-nggip.iges.or.jp/public/2006gl/pdf/4_Volume4/V4_06_Ch6_Grassland.pdf#page=27" TargetMode="External" /><Relationship Type="http://schemas.openxmlformats.org/officeDocument/2006/relationships/hyperlink" Id="rId436" Target="https://www.ipcc-nggip.iges.or.jp/public/2006gl/pdf/4_Volume4/V4_09_Ch9_Other_Land.pdf#page=7" TargetMode="External" /><Relationship Type="http://schemas.openxmlformats.org/officeDocument/2006/relationships/hyperlink" Id="rId364" Target="https://www.ipcc-nggip.iges.or.jp/public/2019rf/pdf/4_Volume4/19R_V4_Ch02_Generic%20Methods.pdf" TargetMode="External" /><Relationship Type="http://schemas.openxmlformats.org/officeDocument/2006/relationships/hyperlink" Id="rId426" Target="https://www.ipcc-nggip.iges.or.jp/public/2019rf/pdf/4_Volume4/19R_V4_Ch02_Generic%20Methods.pdf#page=33" TargetMode="External" /><Relationship Type="http://schemas.openxmlformats.org/officeDocument/2006/relationships/hyperlink" Id="rId124" Target="https://www.ipcc-nggip.iges.or.jp/public/2019rf/pdf/4_Volume4/19R_V4_Ch02_Generic%20Methods.pdf#page=35" TargetMode="External" /><Relationship Type="http://schemas.openxmlformats.org/officeDocument/2006/relationships/hyperlink" Id="rId427" Target="https://www.ipcc-nggip.iges.or.jp/public/2019rf/pdf/4_Volume4/19R_V4_Ch03_Land%20Representation.pdf#page=11" TargetMode="External" /><Relationship Type="http://schemas.openxmlformats.org/officeDocument/2006/relationships/hyperlink" Id="rId430" Target="https://www.ipcc-nggip.iges.or.jp/public/2019rf/pdf/4_Volume4/19R_V4_Ch03_Land%20Representation.pdf#page=17" TargetMode="External" /><Relationship Type="http://schemas.openxmlformats.org/officeDocument/2006/relationships/hyperlink" Id="rId429" Target="https://www.ipcc-nggip.iges.or.jp/public/2019rf/pdf/4_Volume4/19R_V4_Ch03_Land%20Representation.pdf#page=20" TargetMode="External" /><Relationship Type="http://schemas.openxmlformats.org/officeDocument/2006/relationships/hyperlink" Id="rId428" Target="https://www.ipcc-nggip.iges.or.jp/public/2019rf/pdf/4_Volume4/19R_V4_Ch03_Land%20Representation.pdf#page=21" TargetMode="External" /><Relationship Type="http://schemas.openxmlformats.org/officeDocument/2006/relationships/hyperlink" Id="rId432" Target="https://www.ipcc-nggip.iges.or.jp/public/2019rf/pdf/4_Volume4/19R_V4_Ch03_Land%20Representation.pdf#page=35" TargetMode="External" /><Relationship Type="http://schemas.openxmlformats.org/officeDocument/2006/relationships/hyperlink" Id="rId431" Target="https://www.ipcc-nggip.iges.or.jp/public/2019rf/pdf/4_Volume4/19R_V4_Ch03_Land%20Representation.pdf#page=47" TargetMode="External" /><Relationship Type="http://schemas.openxmlformats.org/officeDocument/2006/relationships/hyperlink" Id="rId433" Target="https://www.ipcc-nggip.iges.or.jp/public/2019rf/pdf/4_Volume4/19R_V4_Ch04_Forest%20Land.pdf#page=18" TargetMode="External" /><Relationship Type="http://schemas.openxmlformats.org/officeDocument/2006/relationships/hyperlink" Id="rId115" Target="https://www.ipcc-nggip.iges.or.jp/public/2019rf/pdf/4_Volume4/19R_V4_Ch05_Cropland.pdf#page=27" TargetMode="External" /><Relationship Type="http://schemas.openxmlformats.org/officeDocument/2006/relationships/hyperlink" Id="rId434" Target="https://www.ipcc-nggip.iges.or.jp/public/2019rf/pdf/4_Volume4/19R_V4_Ch05_Cropland.pdf#page=41.9" TargetMode="External" /><Relationship Type="http://schemas.openxmlformats.org/officeDocument/2006/relationships/hyperlink" Id="rId435" Target="https://www.ipcc-nggip.iges.or.jp/public/2019rf/pdf/4_Volume4/19R_V4_Ch05_Cropland.pdf#page=45" TargetMode="External" /><Relationship Type="http://schemas.openxmlformats.org/officeDocument/2006/relationships/hyperlink" Id="rId362" Target="https://www.ipcc-nggip.iges.or.jp/public/2019rf/vol4.html" TargetMode="External" /><Relationship Type="http://schemas.openxmlformats.org/officeDocument/2006/relationships/hyperlink" Id="rId438" Target="https://www.ipcc.ch/report/ar6/wg1/downloads/report/IPCC_AR6_WGI_Chapter07.pdf#page=95" TargetMode="External" /><Relationship Type="http://schemas.openxmlformats.org/officeDocument/2006/relationships/hyperlink" Id="rId437"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2026-01-08T21:12:05Z</dcterms:created>
  <dcterms:modified xsi:type="dcterms:W3CDTF">2026-01-08T21:12:05Z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